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C" w:rsidRDefault="00BA3BBC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1F" w:rsidRPr="00BA3BBC" w:rsidRDefault="008E3E1F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BC">
        <w:rPr>
          <w:rFonts w:ascii="Times New Roman" w:hAnsi="Times New Roman" w:cs="Times New Roman"/>
          <w:b/>
          <w:sz w:val="24"/>
          <w:szCs w:val="24"/>
        </w:rPr>
        <w:t xml:space="preserve">MENSAGEM RETIFICATIVA </w:t>
      </w:r>
    </w:p>
    <w:p w:rsidR="008E3E1F" w:rsidRPr="00BA3BBC" w:rsidRDefault="008E3E1F" w:rsidP="00BA3B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BC">
        <w:rPr>
          <w:rFonts w:ascii="Times New Roman" w:hAnsi="Times New Roman" w:cs="Times New Roman"/>
          <w:b/>
          <w:sz w:val="24"/>
          <w:szCs w:val="24"/>
        </w:rPr>
        <w:t>Projeto de Lei nº 25</w:t>
      </w:r>
      <w:r w:rsidR="00354970">
        <w:rPr>
          <w:rFonts w:ascii="Times New Roman" w:hAnsi="Times New Roman" w:cs="Times New Roman"/>
          <w:b/>
          <w:sz w:val="24"/>
          <w:szCs w:val="24"/>
        </w:rPr>
        <w:t>29</w:t>
      </w:r>
      <w:r w:rsidRPr="00BA3BB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3E1F" w:rsidRPr="00BA3BBC" w:rsidRDefault="008E3E1F" w:rsidP="0006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BC">
        <w:rPr>
          <w:rFonts w:ascii="Times New Roman" w:hAnsi="Times New Roman" w:cs="Times New Roman"/>
          <w:sz w:val="24"/>
          <w:szCs w:val="24"/>
        </w:rPr>
        <w:tab/>
      </w:r>
    </w:p>
    <w:p w:rsidR="008E3E1F" w:rsidRPr="00BA3BBC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BBC">
        <w:rPr>
          <w:rFonts w:ascii="Times New Roman" w:hAnsi="Times New Roman" w:cs="Times New Roman"/>
          <w:sz w:val="24"/>
          <w:szCs w:val="24"/>
        </w:rPr>
        <w:t>Nobres Vereadores,</w:t>
      </w:r>
    </w:p>
    <w:p w:rsidR="008E3E1F" w:rsidRPr="00BA3BBC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BBC">
        <w:rPr>
          <w:rFonts w:ascii="Times New Roman" w:hAnsi="Times New Roman" w:cs="Times New Roman"/>
          <w:sz w:val="24"/>
          <w:szCs w:val="24"/>
        </w:rPr>
        <w:t>O Poder Executivo Municipal enviou a esta Casa Legislativa o Projeto de Lei nº 25</w:t>
      </w:r>
      <w:r w:rsidR="00354970">
        <w:rPr>
          <w:rFonts w:ascii="Times New Roman" w:hAnsi="Times New Roman" w:cs="Times New Roman"/>
          <w:sz w:val="24"/>
          <w:szCs w:val="24"/>
        </w:rPr>
        <w:t>29</w:t>
      </w:r>
      <w:r w:rsidR="00920174" w:rsidRPr="00BA3BBC">
        <w:rPr>
          <w:rFonts w:ascii="Times New Roman" w:hAnsi="Times New Roman" w:cs="Times New Roman"/>
          <w:sz w:val="24"/>
          <w:szCs w:val="24"/>
        </w:rPr>
        <w:t>/</w:t>
      </w:r>
      <w:r w:rsidRPr="00BA3BBC"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920174" w:rsidRPr="00BA3BBC" w:rsidRDefault="008E3E1F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BBC">
        <w:rPr>
          <w:rFonts w:ascii="Times New Roman" w:hAnsi="Times New Roman" w:cs="Times New Roman"/>
          <w:sz w:val="24"/>
          <w:szCs w:val="24"/>
        </w:rPr>
        <w:t xml:space="preserve">Ocorre Nobres </w:t>
      </w:r>
      <w:proofErr w:type="gramStart"/>
      <w:r w:rsidRPr="00BA3BBC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BA3BBC">
        <w:rPr>
          <w:rFonts w:ascii="Times New Roman" w:hAnsi="Times New Roman" w:cs="Times New Roman"/>
          <w:sz w:val="24"/>
          <w:szCs w:val="24"/>
        </w:rPr>
        <w:t>, que o referido Projeto necessita de modificação</w:t>
      </w:r>
      <w:r w:rsidR="00354970">
        <w:rPr>
          <w:rFonts w:ascii="Times New Roman" w:hAnsi="Times New Roman" w:cs="Times New Roman"/>
          <w:sz w:val="24"/>
          <w:szCs w:val="24"/>
        </w:rPr>
        <w:t xml:space="preserve"> no</w:t>
      </w:r>
      <w:r w:rsidRPr="00BA3BBC">
        <w:rPr>
          <w:rFonts w:ascii="Times New Roman" w:hAnsi="Times New Roman" w:cs="Times New Roman"/>
          <w:sz w:val="24"/>
          <w:szCs w:val="24"/>
        </w:rPr>
        <w:t xml:space="preserve"> </w:t>
      </w:r>
      <w:r w:rsidR="00354970">
        <w:rPr>
          <w:rFonts w:ascii="Times New Roman" w:hAnsi="Times New Roman" w:cs="Times New Roman"/>
          <w:sz w:val="24"/>
          <w:szCs w:val="24"/>
        </w:rPr>
        <w:t xml:space="preserve">ART.1°, PARÁGRAFO ÚNICO, acerca da descrição do imóvel. </w:t>
      </w:r>
    </w:p>
    <w:p w:rsidR="00354970" w:rsidRDefault="00920174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BBC">
        <w:rPr>
          <w:rFonts w:ascii="Times New Roman" w:hAnsi="Times New Roman" w:cs="Times New Roman"/>
          <w:sz w:val="24"/>
          <w:szCs w:val="24"/>
        </w:rPr>
        <w:t>O referido projeto de Lei</w:t>
      </w:r>
      <w:proofErr w:type="gramStart"/>
      <w:r w:rsidRPr="00BA3BBC">
        <w:rPr>
          <w:rFonts w:ascii="Times New Roman" w:hAnsi="Times New Roman" w:cs="Times New Roman"/>
          <w:sz w:val="24"/>
          <w:szCs w:val="24"/>
        </w:rPr>
        <w:t>,</w:t>
      </w:r>
      <w:r w:rsidR="008E3E1F" w:rsidRPr="00BA3BBC">
        <w:rPr>
          <w:rFonts w:ascii="Times New Roman" w:hAnsi="Times New Roman" w:cs="Times New Roman"/>
          <w:sz w:val="24"/>
          <w:szCs w:val="24"/>
        </w:rPr>
        <w:t xml:space="preserve"> passa</w:t>
      </w:r>
      <w:proofErr w:type="gramEnd"/>
      <w:r w:rsidR="008E3E1F" w:rsidRPr="00BA3BBC">
        <w:rPr>
          <w:rFonts w:ascii="Times New Roman" w:hAnsi="Times New Roman" w:cs="Times New Roman"/>
          <w:sz w:val="24"/>
          <w:szCs w:val="24"/>
        </w:rPr>
        <w:t xml:space="preserve"> a ter a seguinte redação:</w:t>
      </w:r>
    </w:p>
    <w:p w:rsidR="00354970" w:rsidRDefault="00354970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970" w:rsidRPr="00BA3BBC" w:rsidRDefault="00354970" w:rsidP="00BA3B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970" w:rsidRPr="00DB63C2" w:rsidRDefault="00354970" w:rsidP="00354970">
      <w:pPr>
        <w:spacing w:line="360" w:lineRule="auto"/>
        <w:jc w:val="both"/>
        <w:rPr>
          <w:b/>
          <w:sz w:val="26"/>
          <w:szCs w:val="26"/>
        </w:rPr>
      </w:pPr>
      <w:r w:rsidRPr="00DB63C2">
        <w:rPr>
          <w:b/>
          <w:sz w:val="26"/>
          <w:szCs w:val="26"/>
        </w:rPr>
        <w:t xml:space="preserve">Projeto de Lei n. 2529 de </w:t>
      </w:r>
      <w:r w:rsidR="00D376E9">
        <w:rPr>
          <w:b/>
          <w:sz w:val="26"/>
          <w:szCs w:val="26"/>
        </w:rPr>
        <w:t>10 de maio</w:t>
      </w:r>
      <w:r w:rsidRPr="00DB63C2">
        <w:rPr>
          <w:b/>
          <w:sz w:val="26"/>
          <w:szCs w:val="26"/>
        </w:rPr>
        <w:t xml:space="preserve"> de 2019.</w:t>
      </w:r>
    </w:p>
    <w:p w:rsidR="00354970" w:rsidRPr="00DB63C2" w:rsidRDefault="00354970" w:rsidP="00354970">
      <w:pPr>
        <w:spacing w:line="360" w:lineRule="auto"/>
        <w:jc w:val="both"/>
        <w:rPr>
          <w:b/>
          <w:sz w:val="26"/>
          <w:szCs w:val="26"/>
        </w:rPr>
      </w:pPr>
    </w:p>
    <w:p w:rsidR="00354970" w:rsidRDefault="00354970" w:rsidP="00354970">
      <w:pPr>
        <w:spacing w:line="360" w:lineRule="auto"/>
        <w:ind w:left="2832"/>
        <w:jc w:val="both"/>
        <w:rPr>
          <w:b/>
          <w:sz w:val="26"/>
          <w:szCs w:val="26"/>
        </w:rPr>
      </w:pPr>
      <w:r w:rsidRPr="00DB63C2">
        <w:rPr>
          <w:b/>
          <w:sz w:val="26"/>
          <w:szCs w:val="26"/>
        </w:rPr>
        <w:t>AUTORIZA O PODER EXECUTIVO MUNICIPAL A DOAR IMÓVEL AO ESTADO DO RIO GRANDE DO SUL PARA SEDE DA BRIGADA MILITAR DE SALTO DO JACUÍ – RS E DÁ OUTRAS PROVIDÊNCIAS</w:t>
      </w:r>
    </w:p>
    <w:p w:rsidR="00354970" w:rsidRPr="00DB63C2" w:rsidRDefault="00354970" w:rsidP="00354970">
      <w:pPr>
        <w:spacing w:line="360" w:lineRule="auto"/>
        <w:ind w:left="2832"/>
        <w:jc w:val="both"/>
        <w:rPr>
          <w:b/>
          <w:sz w:val="26"/>
          <w:szCs w:val="26"/>
        </w:rPr>
      </w:pPr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7E3B2C">
        <w:rPr>
          <w:b/>
          <w:sz w:val="26"/>
          <w:szCs w:val="26"/>
        </w:rPr>
        <w:t>Art. 1º</w:t>
      </w:r>
      <w:r>
        <w:rPr>
          <w:sz w:val="26"/>
          <w:szCs w:val="26"/>
        </w:rPr>
        <w:t>: Fica o Poder Executivo Municipal autorizado a doar imóvel para o Estado do Rio Grande do Sul para a sede da Brigada Militar.</w:t>
      </w:r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3B2C">
        <w:rPr>
          <w:b/>
          <w:sz w:val="26"/>
          <w:szCs w:val="26"/>
        </w:rPr>
        <w:t>Parágrafo único</w:t>
      </w:r>
      <w:r>
        <w:rPr>
          <w:sz w:val="26"/>
          <w:szCs w:val="26"/>
        </w:rPr>
        <w:t>: O imóvel de que trata este artigo trata-se do Lote Urbano número trezentos e trinta (33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), da quadra número oitenta (80) com a área </w:t>
      </w:r>
      <w:r>
        <w:rPr>
          <w:sz w:val="26"/>
          <w:szCs w:val="26"/>
        </w:rPr>
        <w:lastRenderedPageBreak/>
        <w:t>superficial de seiscentos e setenta e seis metros e sess</w:t>
      </w:r>
      <w:r>
        <w:rPr>
          <w:sz w:val="26"/>
          <w:szCs w:val="26"/>
        </w:rPr>
        <w:t>enta decímetros quadrados (676,6</w:t>
      </w:r>
      <w:r>
        <w:rPr>
          <w:sz w:val="26"/>
          <w:szCs w:val="26"/>
        </w:rPr>
        <w:t>0 m²), e UMA EDIFICAÇÃO COMERCIAL, sob n. 315, com área construída de cento e noventa metros quadrados e vinte e sete decímetros (190,27 m²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situado na Rua Nossa Senhora dos Navegantes, lado ímpar, distante 30,20 metros da esquina com a Rua Guilherme Tolotti, no Bairro Nossa Senhora dos Navegantes, na cidade de Salto do Jacuí –RS, localizado dentro do quarteirão formado pelas ruas: Nossa Senhora dos Navegantes, Guilherme Tolotti, Dr. Aderbal Schneider e Vicente </w:t>
      </w:r>
      <w:proofErr w:type="spellStart"/>
      <w:r>
        <w:rPr>
          <w:sz w:val="26"/>
          <w:szCs w:val="26"/>
        </w:rPr>
        <w:t>Palotti</w:t>
      </w:r>
      <w:proofErr w:type="spellEnd"/>
      <w:r>
        <w:rPr>
          <w:sz w:val="26"/>
          <w:szCs w:val="26"/>
        </w:rPr>
        <w:t xml:space="preserve">, com as seguintes confrontações: </w:t>
      </w:r>
      <w:r w:rsidRPr="00D376E9">
        <w:rPr>
          <w:b/>
          <w:sz w:val="26"/>
          <w:szCs w:val="26"/>
        </w:rPr>
        <w:t>ao Norte</w:t>
      </w:r>
      <w:r>
        <w:rPr>
          <w:sz w:val="26"/>
          <w:szCs w:val="26"/>
        </w:rPr>
        <w:t>, na extensão de 20,00 metros, com o lote de Cezar Lino Mainardi, na extensão de 12,50 metros, com o Lote de João Alves da Silva e na extensão de 7,30 metros com o lote</w:t>
      </w:r>
      <w:r w:rsidR="00D376E9">
        <w:rPr>
          <w:sz w:val="26"/>
          <w:szCs w:val="26"/>
        </w:rPr>
        <w:t xml:space="preserve"> de Martins </w:t>
      </w:r>
      <w:proofErr w:type="spellStart"/>
      <w:r w:rsidR="00D376E9">
        <w:rPr>
          <w:sz w:val="26"/>
          <w:szCs w:val="26"/>
        </w:rPr>
        <w:t>Kaciava</w:t>
      </w:r>
      <w:proofErr w:type="spellEnd"/>
      <w:r w:rsidR="00D376E9">
        <w:rPr>
          <w:sz w:val="26"/>
          <w:szCs w:val="26"/>
        </w:rPr>
        <w:t xml:space="preserve">; </w:t>
      </w:r>
      <w:r w:rsidR="00D376E9" w:rsidRPr="00D376E9">
        <w:rPr>
          <w:b/>
          <w:sz w:val="26"/>
          <w:szCs w:val="26"/>
        </w:rPr>
        <w:t>ao sul</w:t>
      </w:r>
      <w:r w:rsidR="00D376E9">
        <w:rPr>
          <w:sz w:val="26"/>
          <w:szCs w:val="26"/>
        </w:rPr>
        <w:t xml:space="preserve"> na extensão de 39,80 metros com o lote</w:t>
      </w:r>
      <w:r>
        <w:rPr>
          <w:sz w:val="26"/>
          <w:szCs w:val="26"/>
        </w:rPr>
        <w:t xml:space="preserve"> pertencente a Igreja Católica; </w:t>
      </w:r>
      <w:r w:rsidRPr="00D376E9">
        <w:rPr>
          <w:b/>
          <w:sz w:val="26"/>
          <w:szCs w:val="26"/>
        </w:rPr>
        <w:t>ao Leste,</w:t>
      </w:r>
      <w:r>
        <w:rPr>
          <w:sz w:val="26"/>
          <w:szCs w:val="26"/>
        </w:rPr>
        <w:t xml:space="preserve"> na extensão de 17,20 metros com a Rua Nossa Senhora dos Navegantes e </w:t>
      </w:r>
      <w:r w:rsidRPr="00D376E9">
        <w:rPr>
          <w:b/>
          <w:sz w:val="26"/>
          <w:szCs w:val="26"/>
        </w:rPr>
        <w:t>ao Oeste</w:t>
      </w:r>
      <w:r>
        <w:rPr>
          <w:sz w:val="26"/>
          <w:szCs w:val="26"/>
        </w:rPr>
        <w:t xml:space="preserve"> na extensão de 16,80 metros, com o lote  de </w:t>
      </w:r>
      <w:proofErr w:type="spellStart"/>
      <w:r>
        <w:rPr>
          <w:sz w:val="26"/>
          <w:szCs w:val="26"/>
        </w:rPr>
        <w:t>Maldoni</w:t>
      </w:r>
      <w:proofErr w:type="spellEnd"/>
      <w:r>
        <w:rPr>
          <w:sz w:val="26"/>
          <w:szCs w:val="26"/>
        </w:rPr>
        <w:t xml:space="preserve"> Pedroso. Matrícula R. </w:t>
      </w:r>
      <w:proofErr w:type="gramStart"/>
      <w:r>
        <w:rPr>
          <w:sz w:val="26"/>
          <w:szCs w:val="26"/>
        </w:rPr>
        <w:t>1-1.</w:t>
      </w:r>
      <w:bookmarkStart w:id="0" w:name="_GoBack"/>
      <w:bookmarkEnd w:id="0"/>
      <w:proofErr w:type="gramEnd"/>
      <w:r>
        <w:rPr>
          <w:sz w:val="26"/>
          <w:szCs w:val="26"/>
        </w:rPr>
        <w:t>477, do livro n. 2 – Registro Geral.</w:t>
      </w:r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10D5">
        <w:rPr>
          <w:b/>
          <w:sz w:val="26"/>
          <w:szCs w:val="26"/>
        </w:rPr>
        <w:t>Art. 2º</w:t>
      </w:r>
      <w:r>
        <w:rPr>
          <w:sz w:val="26"/>
          <w:szCs w:val="26"/>
        </w:rPr>
        <w:t>: A não utilização do Imóvel para o fim que define esta Lei, no prazo de 02 (dois) anos, implicará automaticamente no retorno do domínio ao Município de Salto do Jacuí.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End"/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10D5">
        <w:rPr>
          <w:b/>
          <w:sz w:val="26"/>
          <w:szCs w:val="26"/>
        </w:rPr>
        <w:t>Art. 3º</w:t>
      </w:r>
      <w:r>
        <w:rPr>
          <w:sz w:val="26"/>
          <w:szCs w:val="26"/>
        </w:rPr>
        <w:t>: Esta Lei entra em vigor na data de sua publicação.</w:t>
      </w:r>
    </w:p>
    <w:p w:rsidR="00354970" w:rsidRDefault="00354970" w:rsidP="00354970">
      <w:pPr>
        <w:tabs>
          <w:tab w:val="left" w:pos="11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Salto do Jacuí, </w:t>
      </w:r>
      <w:r w:rsidR="00D376E9">
        <w:rPr>
          <w:sz w:val="26"/>
          <w:szCs w:val="26"/>
        </w:rPr>
        <w:t>10 de maio</w:t>
      </w:r>
      <w:r>
        <w:rPr>
          <w:sz w:val="26"/>
          <w:szCs w:val="26"/>
        </w:rPr>
        <w:t xml:space="preserve"> de 2019.</w:t>
      </w:r>
    </w:p>
    <w:p w:rsidR="00354970" w:rsidRDefault="00354970" w:rsidP="00354970">
      <w:pPr>
        <w:spacing w:line="360" w:lineRule="auto"/>
        <w:jc w:val="both"/>
        <w:rPr>
          <w:sz w:val="26"/>
          <w:szCs w:val="26"/>
        </w:rPr>
      </w:pPr>
    </w:p>
    <w:p w:rsidR="00354970" w:rsidRPr="006D11D6" w:rsidRDefault="00354970" w:rsidP="00354970">
      <w:pPr>
        <w:spacing w:line="360" w:lineRule="auto"/>
        <w:jc w:val="both"/>
        <w:rPr>
          <w:b/>
          <w:sz w:val="26"/>
          <w:szCs w:val="26"/>
        </w:rPr>
      </w:pP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  <w:t xml:space="preserve">Claudiomiro </w:t>
      </w:r>
      <w:proofErr w:type="spellStart"/>
      <w:r w:rsidRPr="006D11D6">
        <w:rPr>
          <w:b/>
          <w:sz w:val="26"/>
          <w:szCs w:val="26"/>
        </w:rPr>
        <w:t>Gamst</w:t>
      </w:r>
      <w:proofErr w:type="spellEnd"/>
      <w:r w:rsidRPr="006D11D6">
        <w:rPr>
          <w:b/>
          <w:sz w:val="26"/>
          <w:szCs w:val="26"/>
        </w:rPr>
        <w:t xml:space="preserve"> Robinson</w:t>
      </w:r>
    </w:p>
    <w:p w:rsidR="00354970" w:rsidRDefault="00354970" w:rsidP="00354970">
      <w:pPr>
        <w:spacing w:line="360" w:lineRule="auto"/>
        <w:jc w:val="both"/>
        <w:rPr>
          <w:b/>
          <w:sz w:val="26"/>
          <w:szCs w:val="26"/>
        </w:rPr>
      </w:pP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</w:r>
      <w:r w:rsidRPr="006D11D6">
        <w:rPr>
          <w:b/>
          <w:sz w:val="26"/>
          <w:szCs w:val="26"/>
        </w:rPr>
        <w:tab/>
        <w:t xml:space="preserve">       Prefeito Municipal</w:t>
      </w:r>
    </w:p>
    <w:p w:rsidR="008E3E1F" w:rsidRPr="00BA3BBC" w:rsidRDefault="008E3E1F" w:rsidP="00065B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3E1F" w:rsidRPr="00BA3BBC" w:rsidSect="00D376E9">
      <w:pgSz w:w="11906" w:h="16838"/>
      <w:pgMar w:top="2268" w:right="1134" w:bottom="22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A07CB"/>
    <w:multiLevelType w:val="hybridMultilevel"/>
    <w:tmpl w:val="F338332E"/>
    <w:lvl w:ilvl="0" w:tplc="FE941B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90BEB"/>
    <w:multiLevelType w:val="hybridMultilevel"/>
    <w:tmpl w:val="77A20272"/>
    <w:lvl w:ilvl="0" w:tplc="AEF2F5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7137B8"/>
    <w:multiLevelType w:val="hybridMultilevel"/>
    <w:tmpl w:val="17BCF264"/>
    <w:lvl w:ilvl="0" w:tplc="8B969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C561A8"/>
    <w:multiLevelType w:val="hybridMultilevel"/>
    <w:tmpl w:val="B742F452"/>
    <w:lvl w:ilvl="0" w:tplc="404642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1F"/>
    <w:rsid w:val="00065B76"/>
    <w:rsid w:val="00111A6D"/>
    <w:rsid w:val="001445E9"/>
    <w:rsid w:val="001A6987"/>
    <w:rsid w:val="001F2133"/>
    <w:rsid w:val="003451C4"/>
    <w:rsid w:val="00354970"/>
    <w:rsid w:val="00426879"/>
    <w:rsid w:val="0046153A"/>
    <w:rsid w:val="004B437B"/>
    <w:rsid w:val="004E455B"/>
    <w:rsid w:val="004F1BE2"/>
    <w:rsid w:val="0055272A"/>
    <w:rsid w:val="007A0986"/>
    <w:rsid w:val="007E7795"/>
    <w:rsid w:val="00874A69"/>
    <w:rsid w:val="008E3E1F"/>
    <w:rsid w:val="00903D04"/>
    <w:rsid w:val="00920174"/>
    <w:rsid w:val="00963FB1"/>
    <w:rsid w:val="009F2DA4"/>
    <w:rsid w:val="00A2034C"/>
    <w:rsid w:val="00A44628"/>
    <w:rsid w:val="00AF5148"/>
    <w:rsid w:val="00B1070A"/>
    <w:rsid w:val="00BA3BBC"/>
    <w:rsid w:val="00BF14CA"/>
    <w:rsid w:val="00C527CB"/>
    <w:rsid w:val="00D376E9"/>
    <w:rsid w:val="00D570C7"/>
    <w:rsid w:val="00E16629"/>
    <w:rsid w:val="00EC3C51"/>
    <w:rsid w:val="00F0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1F"/>
    <w:pPr>
      <w:spacing w:after="200" w:line="276" w:lineRule="auto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8E3E1F"/>
    <w:pPr>
      <w:keepNext/>
      <w:tabs>
        <w:tab w:val="num" w:pos="360"/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3E1F"/>
    <w:rPr>
      <w:rFonts w:ascii="Arial" w:eastAsia="Times New Roman" w:hAnsi="Arial" w:cs="Times New Roman"/>
      <w:b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E3E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3E1F"/>
    <w:rPr>
      <w:rFonts w:ascii="Arial" w:eastAsia="Times New Roman" w:hAnsi="Arial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8E3E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8E3E1F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8E3E1F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3E1F"/>
    <w:rPr>
      <w:rFonts w:ascii="Arial" w:eastAsia="Times New Roman" w:hAnsi="Arial" w:cs="Times New Roman"/>
      <w:i/>
      <w:sz w:val="22"/>
      <w:szCs w:val="20"/>
      <w:lang w:eastAsia="ar-SA"/>
    </w:rPr>
  </w:style>
  <w:style w:type="character" w:customStyle="1" w:styleId="Caracteresdenotaderodap">
    <w:name w:val="Caracteres de nota de rodapé"/>
    <w:rsid w:val="008E3E1F"/>
    <w:rPr>
      <w:vertAlign w:val="superscript"/>
    </w:rPr>
  </w:style>
  <w:style w:type="character" w:customStyle="1" w:styleId="Refdenotaderodap1">
    <w:name w:val="Ref. de nota de rodapé1"/>
    <w:rsid w:val="008E3E1F"/>
    <w:rPr>
      <w:vertAlign w:val="superscript"/>
    </w:rPr>
  </w:style>
  <w:style w:type="character" w:customStyle="1" w:styleId="Refdenotaderodap2">
    <w:name w:val="Ref. de nota de rodapé2"/>
    <w:rsid w:val="008E3E1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E3E1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1F"/>
    <w:rPr>
      <w:rFonts w:ascii="Tahoma" w:eastAsia="Times New Roman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E1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20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1F"/>
    <w:pPr>
      <w:spacing w:after="200" w:line="276" w:lineRule="auto"/>
    </w:pPr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har"/>
    <w:unhideWhenUsed/>
    <w:qFormat/>
    <w:rsid w:val="008E3E1F"/>
    <w:pPr>
      <w:keepNext/>
      <w:tabs>
        <w:tab w:val="num" w:pos="360"/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3E1F"/>
    <w:rPr>
      <w:rFonts w:ascii="Arial" w:eastAsia="Times New Roman" w:hAnsi="Arial" w:cs="Times New Roman"/>
      <w:b/>
      <w:sz w:val="22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E3E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E3E1F"/>
    <w:rPr>
      <w:rFonts w:ascii="Arial" w:eastAsia="Times New Roman" w:hAnsi="Arial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8E3E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8E3E1F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8E3E1F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3E1F"/>
    <w:rPr>
      <w:rFonts w:ascii="Arial" w:eastAsia="Times New Roman" w:hAnsi="Arial" w:cs="Times New Roman"/>
      <w:i/>
      <w:sz w:val="22"/>
      <w:szCs w:val="20"/>
      <w:lang w:eastAsia="ar-SA"/>
    </w:rPr>
  </w:style>
  <w:style w:type="character" w:customStyle="1" w:styleId="Caracteresdenotaderodap">
    <w:name w:val="Caracteres de nota de rodapé"/>
    <w:rsid w:val="008E3E1F"/>
    <w:rPr>
      <w:vertAlign w:val="superscript"/>
    </w:rPr>
  </w:style>
  <w:style w:type="character" w:customStyle="1" w:styleId="Refdenotaderodap1">
    <w:name w:val="Ref. de nota de rodapé1"/>
    <w:rsid w:val="008E3E1F"/>
    <w:rPr>
      <w:vertAlign w:val="superscript"/>
    </w:rPr>
  </w:style>
  <w:style w:type="character" w:customStyle="1" w:styleId="Refdenotaderodap2">
    <w:name w:val="Ref. de nota de rodapé2"/>
    <w:rsid w:val="008E3E1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E3E1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E3E1F"/>
    <w:rPr>
      <w:rFonts w:ascii="Arial" w:eastAsia="Times New Roman" w:hAnsi="Arial" w:cs="Times New Roman"/>
      <w:sz w:val="22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E3E1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E1F"/>
    <w:rPr>
      <w:rFonts w:ascii="Tahoma" w:eastAsia="Times New Roman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E1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920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6412-B596-462C-A4B6-20FDF482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</cp:lastModifiedBy>
  <cp:revision>2</cp:revision>
  <cp:lastPrinted>2019-06-10T12:28:00Z</cp:lastPrinted>
  <dcterms:created xsi:type="dcterms:W3CDTF">2019-06-10T12:28:00Z</dcterms:created>
  <dcterms:modified xsi:type="dcterms:W3CDTF">2019-06-10T12:28:00Z</dcterms:modified>
</cp:coreProperties>
</file>