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6772/2019</w:t>
      </w:r>
      <w:r>
        <w:rPr>
          <w:rFonts w:eastAsia="Calibri" w:cs="Arial"/>
        </w:rPr>
        <w:tab/>
        <w:t xml:space="preserve">                             </w:t>
      </w:r>
      <w:r>
        <w:rPr>
          <w:rFonts w:eastAsia="Calibri" w:cs="Arial"/>
          <w:b/>
        </w:rPr>
        <w:t>Data:</w:t>
      </w:r>
      <w:r>
        <w:rPr>
          <w:rFonts w:eastAsia="Calibri" w:cs="Arial"/>
        </w:rPr>
        <w:t xml:space="preserve"> 26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Institui o transporte escolar para os alunos da rede municipal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instituir o transporte escolar para os alunos da rede municipal.</w:t>
      </w: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Lei Federal nº 9.394/1996, que estabelece as diretrizes e bases da educação nacional - LDB, no art. 4º, inciso VIII, define que o atendimento ao educando, em todas as etapas da educação básica, por meio de programas suplementares transporte, dentre outros, competindo ao Município assumir o transporte escolar dos alunos da rede municipal nos termos do art. 11, inciso VI, da mesma Lei.</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Para tanto, necessário o atendimento do art. 62, da Lei Complementar nº101/2000, o qual determina que os Municípios só </w:t>
      </w:r>
      <w:proofErr w:type="gramStart"/>
      <w:r>
        <w:rPr>
          <w:rFonts w:eastAsia="Calibri" w:cs="Arial"/>
        </w:rPr>
        <w:t>contribuirão</w:t>
      </w:r>
      <w:proofErr w:type="gramEnd"/>
      <w:r>
        <w:rPr>
          <w:rFonts w:eastAsia="Calibri" w:cs="Arial"/>
        </w:rPr>
        <w:t xml:space="preserve"> para o custeio de despesas de competência de outros entes da Federação se houver autorização na lei de diretrizes orçamentárias e na lei orçamentária anual e convênio, acordo, ajuste ou congênere, conforme sua legislação.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que respeita à matéria regulada na proposição verifica-se que a mesma se encontra conforme a legislação aplicável, sendo necessário registrar, apenas, no que concerne à previsão de seu art. 6º, que o Poder Judiciário vem entendendo que a concessão do transporte escolar deve dar-se quando a distância for maior que dois quilômetros entre escola e residência do aluno. Ademais, no art. 1º, §1º, sugere-se a correção do número do Decreto Estadual.</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maio de 2019.</w:t>
      </w: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0E19-8B1F-46AD-B8AB-442B3EBB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2019-04-18T12:42:00Z</cp:lastPrinted>
  <dcterms:created xsi:type="dcterms:W3CDTF">2019-05-13T22:14:00Z</dcterms:created>
  <dcterms:modified xsi:type="dcterms:W3CDTF">2019-05-13T22:21:00Z</dcterms:modified>
</cp:coreProperties>
</file>