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29/2019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6764/2019</w:t>
      </w:r>
      <w:r>
        <w:rPr>
          <w:rFonts w:eastAsia="Calibri" w:cs="Arial"/>
        </w:rPr>
        <w:tab/>
        <w:t xml:space="preserve">                             </w:t>
      </w:r>
      <w:r>
        <w:rPr>
          <w:rFonts w:eastAsia="Calibri" w:cs="Arial"/>
          <w:b/>
        </w:rPr>
        <w:t>Data:</w:t>
      </w:r>
      <w:r>
        <w:rPr>
          <w:rFonts w:eastAsia="Calibri" w:cs="Arial"/>
        </w:rPr>
        <w:t xml:space="preserve"> 17 de abril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2520/2019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Jucimar</w:t>
      </w:r>
      <w:proofErr w:type="spellEnd"/>
      <w:r>
        <w:rPr>
          <w:rFonts w:eastAsia="Calibri" w:cs="Arial"/>
        </w:rPr>
        <w:t xml:space="preserve"> Borges da Silveira            </w:t>
      </w:r>
      <w:r>
        <w:rPr>
          <w:rFonts w:eastAsia="Calibri" w:cs="Arial"/>
        </w:rPr>
        <w:tab/>
        <w:t xml:space="preserve">       </w:t>
      </w:r>
      <w:r>
        <w:rPr>
          <w:rFonts w:eastAsia="Calibri" w:cs="Arial"/>
          <w:b/>
        </w:rPr>
        <w:t>Conclusão do Voto:</w:t>
      </w:r>
      <w:r>
        <w:rPr>
          <w:rFonts w:eastAsia="Calibri" w:cs="Arial"/>
        </w:rPr>
        <w:t xml:space="preserve"> Voto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realizar a abertura de crédito adicional especial no valor de R$ 3.200,00 (três mil e duzentos reais)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para abertura de crédito adicional especial no valor de R$ 3.200,00 (três mil e duzentos reais).</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 xml:space="preserve">Na análise, identifica-se que a proposição está correta quanto </w:t>
      </w:r>
      <w:proofErr w:type="gramStart"/>
      <w:r>
        <w:rPr>
          <w:rFonts w:eastAsia="Calibri" w:cs="Arial"/>
        </w:rPr>
        <w:t>a</w:t>
      </w:r>
      <w:proofErr w:type="gramEnd"/>
      <w:r>
        <w:rPr>
          <w:rFonts w:eastAsia="Calibri" w:cs="Arial"/>
        </w:rPr>
        <w:t xml:space="preserve"> iniciativa, de acordo com art. 165, inciso III da Constituição Federal.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Consoante à matéria orçamentária, verifica-se que o presente Projeto de Lei compreende os requisitos necessários para a abertura de crédito adicional especial, sob o respaldo do art. 41, inciso II, e do art. 43, § 1º, inciso III da Lei no 4.320, de 1964.</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do Projeto, na Lei Orçamentaria Anual de 2019 não foi contemplada a dotação orçamentária referente a despesas da prestação de serviços por pessoas jurídicas para órgãos e entidades da Administração Pública, relacionadas à Tecnologia da Informação e Comunicação – TIC (3.3.90.40.00.00), e para a correta classificação contábil e orçamentária, encaminhou-se o presente projeto.</w:t>
      </w:r>
    </w:p>
    <w:p>
      <w:pPr>
        <w:tabs>
          <w:tab w:val="left" w:pos="1701"/>
          <w:tab w:val="left" w:pos="5059"/>
        </w:tabs>
        <w:spacing w:after="0" w:line="240" w:lineRule="auto"/>
        <w:jc w:val="both"/>
        <w:rPr>
          <w:rFonts w:eastAsia="Calibri" w:cs="Arial"/>
          <w:b/>
        </w:rPr>
      </w:pPr>
      <w:bookmarkStart w:id="0" w:name="_GoBack"/>
      <w:bookmarkEnd w:id="0"/>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 xml:space="preserve">Sala das Comissões, em </w:t>
      </w:r>
      <w:proofErr w:type="gramStart"/>
      <w:r>
        <w:rPr>
          <w:rFonts w:eastAsia="Calibri" w:cs="Arial"/>
        </w:rPr>
        <w:t>2</w:t>
      </w:r>
      <w:proofErr w:type="gramEnd"/>
      <w:r>
        <w:rPr>
          <w:rFonts w:eastAsia="Calibri" w:cs="Arial"/>
        </w:rPr>
        <w:t xml:space="preserve"> de maio de 2019.</w:t>
      </w:r>
    </w:p>
    <w:p>
      <w:pPr>
        <w:tabs>
          <w:tab w:val="left" w:pos="1418"/>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        Vereador Sandro </w:t>
      </w:r>
      <w:proofErr w:type="spellStart"/>
      <w:r>
        <w:rPr>
          <w:rFonts w:eastAsia="Calibri" w:cs="Arial"/>
        </w:rPr>
        <w:t>Drum</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B973B-C84B-4BEB-BA80-EF95DE8C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1603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2019-04-18T12:42:00Z</cp:lastPrinted>
  <dcterms:created xsi:type="dcterms:W3CDTF">2019-05-01T16:39:00Z</dcterms:created>
  <dcterms:modified xsi:type="dcterms:W3CDTF">2019-05-01T16:41:00Z</dcterms:modified>
</cp:coreProperties>
</file>