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29/2019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6764/2019</w:t>
      </w:r>
      <w:r>
        <w:rPr>
          <w:rFonts w:eastAsia="Calibri" w:cs="Arial"/>
        </w:rPr>
        <w:tab/>
        <w:t xml:space="preserve">                             </w:t>
      </w:r>
      <w:r>
        <w:rPr>
          <w:rFonts w:eastAsia="Calibri" w:cs="Arial"/>
          <w:b/>
        </w:rPr>
        <w:t>Data:</w:t>
      </w:r>
      <w:r>
        <w:rPr>
          <w:rFonts w:eastAsia="Calibri" w:cs="Arial"/>
        </w:rPr>
        <w:t xml:space="preserve"> 17 de abril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2520/2019</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realizar a abertura de crédito adicional especial no valor de R$ 3.200,00 (três mil e duzentos reais) e dá outras providências.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17 de abril de 2019 e tem como objetivo pedido de autorização para abertura de crédito adicional especial no valor de R$ 3.200,00 (três mil e duzentos reais).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A iniciativa para deflagrar o processo legislativo está corretamente exercida, pois pertence ao Executivo Municipal a competência privativa para iniciar o processo, nos termos do art. 165, inciso III da Constituição Federal.</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do Projeto, na Lei Orçamentaria Anual de 2019 não foi contemplada a dotação orçamentária referente a despesas da prestação de serviços por pessoas jurídicas para órgãos e entidades da Administração Pública, relacionadas à Tecnologia da Informação e Comunicação – TIC (3.3.90.40.00.00), e para a correta classificação contábil e orçamentária, encaminhou-se o presente projeto.</w:t>
      </w:r>
      <w:bookmarkStart w:id="0" w:name="_GoBack"/>
      <w:bookmarkEnd w:id="0"/>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2 de maio de 2019.</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w:t>
      </w:r>
      <w:proofErr w:type="spellStart"/>
      <w:r>
        <w:rPr>
          <w:rFonts w:eastAsia="Calibri" w:cs="Arial"/>
        </w:rPr>
        <w:t>Dessbessel</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1510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3</cp:revision>
  <cp:lastPrinted>2019-04-18T12:01:00Z</cp:lastPrinted>
  <dcterms:created xsi:type="dcterms:W3CDTF">2019-05-01T16:33:00Z</dcterms:created>
  <dcterms:modified xsi:type="dcterms:W3CDTF">2019-05-01T16:37:00Z</dcterms:modified>
</cp:coreProperties>
</file>