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26/2019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6753/2019</w:t>
      </w:r>
      <w:r>
        <w:rPr>
          <w:rFonts w:eastAsia="Calibri" w:cs="Arial"/>
        </w:rPr>
        <w:tab/>
        <w:t xml:space="preserve">                             </w:t>
      </w:r>
      <w:r>
        <w:rPr>
          <w:rFonts w:eastAsia="Calibri" w:cs="Arial"/>
          <w:b/>
        </w:rPr>
        <w:t>Data:</w:t>
      </w:r>
      <w:r>
        <w:rPr>
          <w:rFonts w:eastAsia="Calibri" w:cs="Arial"/>
        </w:rPr>
        <w:t xml:space="preserve"> </w:t>
      </w:r>
      <w:proofErr w:type="gramStart"/>
      <w:r>
        <w:rPr>
          <w:rFonts w:eastAsia="Calibri" w:cs="Arial"/>
        </w:rPr>
        <w:t>5</w:t>
      </w:r>
      <w:proofErr w:type="gramEnd"/>
      <w:r>
        <w:rPr>
          <w:rFonts w:eastAsia="Calibri" w:cs="Arial"/>
        </w:rPr>
        <w:t xml:space="preserve">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2516/2019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especial no valor de R$ 39.946,24 (trinta e nove mil novecentos e quarenta e seis reais e vinte e quatro centavos)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5 de abril de 2019 e tem como objetivo pedido de autorização para abertura de crédito especial no valor de R$ 39.946,24 (trinta e nove mil novecentos e quarenta e seis reais e vinte e quatro centavos).</w:t>
      </w:r>
      <w:bookmarkStart w:id="0" w:name="_GoBack"/>
      <w:bookmarkEnd w:id="0"/>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pois pertence ao Executivo Municipal a competência privativa para iniciar o processo,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Cabe destacar que a modificação no orçamento da Saúde foi aprovada pelo Conselho Municipal da Saúde, de acordo art. 33 da Lei nº 8.080 de 1990, conforme Ata encaminhada pela Secretaria Municipal da Saúde.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No que se </w:t>
      </w:r>
      <w:proofErr w:type="gramStart"/>
      <w:r>
        <w:rPr>
          <w:rFonts w:eastAsia="Calibri" w:cs="Arial"/>
        </w:rPr>
        <w:t>refere</w:t>
      </w:r>
      <w:proofErr w:type="gramEnd"/>
      <w:r>
        <w:rPr>
          <w:rFonts w:eastAsia="Calibri" w:cs="Arial"/>
        </w:rPr>
        <w:t xml:space="preserve"> à alteração do Plano Plurianual e da Lei de Diretrizes Orçamentárias, propostas pelo art. 3º, cabe salientar que é preciso indicar de forma direta qual é o Programa ou Ação se está criado ou alterado. Ou seja, o dispositivo deverá apresentar as alterações de forma específica e não de forma genérica. Assim, opina-se pela exclusão do art. 3º.</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17 de abril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319</Words>
  <Characters>1723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2019-04-18T12:01:00Z</cp:lastPrinted>
  <dcterms:created xsi:type="dcterms:W3CDTF">2019-04-18T12:02:00Z</dcterms:created>
  <dcterms:modified xsi:type="dcterms:W3CDTF">2019-04-18T12:07:00Z</dcterms:modified>
</cp:coreProperties>
</file>