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9/2019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6664/2019</w:t>
      </w:r>
      <w:r>
        <w:rPr>
          <w:rFonts w:eastAsia="Calibri" w:cs="Arial"/>
        </w:rPr>
        <w:tab/>
        <w:t xml:space="preserve">                             </w:t>
      </w:r>
      <w:r>
        <w:rPr>
          <w:rFonts w:eastAsia="Calibri" w:cs="Arial"/>
          <w:b/>
        </w:rPr>
        <w:t>Data:</w:t>
      </w:r>
      <w:r>
        <w:rPr>
          <w:rFonts w:eastAsia="Calibri" w:cs="Arial"/>
        </w:rPr>
        <w:t xml:space="preserve"> 15 de fevereiro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3/2019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p>
    <w:p>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Voto Favorável dos vereadores</w:t>
      </w:r>
      <w:r>
        <w:t xml:space="preserve"> </w:t>
      </w:r>
      <w:proofErr w:type="spellStart"/>
      <w:r>
        <w:rPr>
          <w:rFonts w:eastAsia="Calibri" w:cs="Arial"/>
        </w:rPr>
        <w:t>Jucimar</w:t>
      </w:r>
      <w:proofErr w:type="spellEnd"/>
      <w:r>
        <w:rPr>
          <w:rFonts w:eastAsia="Calibri" w:cs="Arial"/>
        </w:rPr>
        <w:t xml:space="preserve"> Borges da Silveira e Loreno </w:t>
      </w:r>
      <w:proofErr w:type="spellStart"/>
      <w:r>
        <w:rPr>
          <w:rFonts w:eastAsia="Calibri" w:cs="Arial"/>
        </w:rPr>
        <w:t>Feix</w:t>
      </w:r>
      <w:proofErr w:type="spellEnd"/>
      <w:r>
        <w:rPr>
          <w:rFonts w:eastAsia="Calibri" w:cs="Arial"/>
        </w:rPr>
        <w:t xml:space="preserve">. Voto Desfavorável do vereador Sandro </w:t>
      </w:r>
      <w:proofErr w:type="spellStart"/>
      <w:r>
        <w:rPr>
          <w:rFonts w:eastAsia="Calibri" w:cs="Arial"/>
        </w:rPr>
        <w:t>Drum</w:t>
      </w:r>
      <w:proofErr w:type="spellEnd"/>
      <w:r>
        <w:rPr>
          <w:rFonts w:eastAsia="Calibri" w:cs="Arial"/>
        </w:rPr>
        <w:t>.</w:t>
      </w:r>
      <w:bookmarkStart w:id="0" w:name="_GoBack"/>
      <w:bookmarkEnd w:id="0"/>
      <w:r>
        <w:rPr>
          <w:rFonts w:eastAsia="Calibri" w:cs="Arial"/>
        </w:rPr>
        <w:t xml:space="preserve">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Cria no Quadro de Cargos em Comissão do Poder Legislativo Municipal (02) cargos.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Legislativo que tem como objetivo pedido de autorização para a criação de dois cargos no Quadro de Cargos em Comissão do Poder Legislativo Municipal.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Quanto à sua origem, verifica-se que o Projeto de Lei em análise não possui nenhum vício que possa obstruir sua votação, posto que </w:t>
      </w:r>
      <w:proofErr w:type="gramStart"/>
      <w:r>
        <w:rPr>
          <w:rFonts w:eastAsia="Calibri" w:cs="Arial"/>
        </w:rPr>
        <w:t>está</w:t>
      </w:r>
      <w:proofErr w:type="gramEnd"/>
      <w:r>
        <w:rPr>
          <w:rFonts w:eastAsia="Calibri" w:cs="Arial"/>
        </w:rPr>
        <w:t xml:space="preserve"> sendo apresentado Mesa Diretora, que detém competência para dispor sobre a criação dos cargos públicos no âmbito do Poder Legislativo, nos termos do inciso III do art. 13 da Lei Orgânica Municipal.</w:t>
      </w:r>
    </w:p>
    <w:p>
      <w:pPr>
        <w:autoSpaceDE w:val="0"/>
        <w:autoSpaceDN w:val="0"/>
        <w:adjustRightInd w:val="0"/>
        <w:spacing w:after="0" w:line="240" w:lineRule="auto"/>
        <w:rPr>
          <w:rFonts w:ascii="Calibri" w:hAnsi="Calibri" w:cs="Calibri"/>
          <w:sz w:val="19"/>
          <w:szCs w:val="19"/>
        </w:rPr>
      </w:pPr>
    </w:p>
    <w:p>
      <w:pPr>
        <w:tabs>
          <w:tab w:val="left" w:pos="1701"/>
          <w:tab w:val="left" w:pos="5059"/>
        </w:tabs>
        <w:spacing w:after="0" w:line="240" w:lineRule="auto"/>
        <w:jc w:val="both"/>
        <w:rPr>
          <w:rFonts w:eastAsia="Calibri" w:cs="Arial"/>
          <w:b/>
        </w:rPr>
      </w:pPr>
      <w:r>
        <w:rPr>
          <w:rFonts w:eastAsia="Calibri" w:cs="Arial"/>
        </w:rPr>
        <w:tab/>
        <w:t>A respeito do conteúdo, a matéria apresenta-se corretamente proposta, uma vez que atende aos requisitos da Lei Complementar nº 101, de 2000, que estabelece normas de finanças públicas voltadas para a responsabilidade na gestão fiscal, ao apresentar estimativa do impacto orçamentário-financeiro que atende ao disposto na Lei de Responsabilidade Fiscal. No entanto, deverá ser incluída no orçamento a fim de atender ao disposto no art. 169, §1º e incisos, da Constituição Federal.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22 de fevereiro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0874E-0F92-4293-9E8F-502157C1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305</Words>
  <Characters>1649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2019-02-21T20:19:00Z</cp:lastPrinted>
  <dcterms:created xsi:type="dcterms:W3CDTF">2019-02-21T20:10:00Z</dcterms:created>
  <dcterms:modified xsi:type="dcterms:W3CDTF">2019-02-22T16:05:00Z</dcterms:modified>
</cp:coreProperties>
</file>