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9</w:t>
      </w:r>
      <w:bookmarkStart w:id="0" w:name="_GoBack"/>
      <w:bookmarkEnd w:id="0"/>
      <w:r>
        <w:rPr>
          <w:rFonts w:eastAsia="Calibri" w:cs="Arial"/>
        </w:rPr>
        <w:t>/2019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6664/2019</w:t>
      </w:r>
      <w:r>
        <w:rPr>
          <w:rFonts w:eastAsia="Calibri" w:cs="Arial"/>
        </w:rPr>
        <w:tab/>
        <w:t xml:space="preserve">                             </w:t>
      </w:r>
      <w:r>
        <w:rPr>
          <w:rFonts w:eastAsia="Calibri" w:cs="Arial"/>
          <w:b/>
        </w:rPr>
        <w:t>Data:</w:t>
      </w:r>
      <w:r>
        <w:rPr>
          <w:rFonts w:eastAsia="Calibri" w:cs="Arial"/>
        </w:rPr>
        <w:t xml:space="preserve"> 15 de fevereiro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PLL 3/2019</w:t>
      </w:r>
      <w:r>
        <w:rPr>
          <w:rFonts w:eastAsia="Calibri" w:cs="Arial"/>
        </w:rPr>
        <w:tab/>
        <w:t xml:space="preserve">                                                                        </w:t>
      </w:r>
      <w:r>
        <w:rPr>
          <w:rFonts w:eastAsia="Calibri" w:cs="Arial"/>
          <w:b/>
        </w:rPr>
        <w:t>Autor:</w:t>
      </w:r>
      <w:r>
        <w:rPr>
          <w:rFonts w:eastAsia="Calibri" w:cs="Arial"/>
        </w:rPr>
        <w:t xml:space="preserve"> Poder Legislativo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Cria no Quadro de Cargos em Comissão do Poder Legislativo Municipal</w:t>
      </w:r>
      <w:bookmarkStart w:id="1" w:name="a1"/>
      <w:bookmarkEnd w:id="1"/>
      <w:r>
        <w:rPr>
          <w:rFonts w:eastAsia="Calibri" w:cs="Arial"/>
        </w:rPr>
        <w:t xml:space="preserve"> (02) cargos.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O Projeto de Lei em análise foi apresentado nesta Casa Legislativa no dia 15 de fevereiro de 2019 e tem como objetivo pedido de autorização para a criação de dois cargos no Quadro de Cargos em Comissão do Poder Legislativo Municipal.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Compete à Mesa Diretora dispor sobre a criação dos cargos públicos no âmbito do Poder Legislativo, nos termos do inciso III do art. 13 da Lei Orgânica Municipal. Por essa premissa, o Projeto de Lei, em análise, está corretamente proposto.</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Em análise às atribuições pretendidas para os cargos de Assessor para Assuntos Institucionais e Analista Legislativo, se vislumbra atividades próprias de cargo de confiança</w:t>
      </w:r>
      <w:r>
        <w:rPr>
          <w:rFonts w:ascii="Calibri" w:hAnsi="Calibri" w:cs="Calibri"/>
          <w:sz w:val="24"/>
          <w:szCs w:val="24"/>
        </w:rPr>
        <w:t xml:space="preserve"> </w:t>
      </w:r>
      <w:r>
        <w:rPr>
          <w:rFonts w:eastAsia="Calibri" w:cs="Arial"/>
        </w:rPr>
        <w:t>(chefia, direção ou assessoramento) e</w:t>
      </w:r>
      <w:r>
        <w:rPr>
          <w:rFonts w:ascii="Calibri" w:hAnsi="Calibri" w:cs="Calibri"/>
          <w:sz w:val="24"/>
          <w:szCs w:val="24"/>
        </w:rPr>
        <w:t xml:space="preserve"> </w:t>
      </w:r>
      <w:r>
        <w:rPr>
          <w:rFonts w:eastAsia="Calibri" w:cs="Arial"/>
        </w:rPr>
        <w:t>distintas das atribuições dos cargos já existentes.</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b/>
        </w:rPr>
      </w:pPr>
      <w:r>
        <w:rPr>
          <w:rFonts w:eastAsia="Calibri" w:cs="Arial"/>
        </w:rPr>
        <w:t>Por se tratar de despesa com pessoal, é necessária apresentação da estimativa do impacto orçamentário e financeiro, nos termos do art. 17 da Lei de Responsabilidade Fiscal – Lei Complementar nº 101, o que está atendido no Projeto.</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legais e constitucionais expostos, esta Relatoria, depois de debate realizado na Comissão, disponibiliza o presente Voto favorável à tramitação da matéria.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22 de fevereiro de 2019.</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Vereador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288</Words>
  <Characters>1560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2019-02-21T19:07:00Z</cp:lastPrinted>
  <dcterms:created xsi:type="dcterms:W3CDTF">2019-02-21T18:56:00Z</dcterms:created>
  <dcterms:modified xsi:type="dcterms:W3CDTF">2019-02-21T19:27:00Z</dcterms:modified>
</cp:coreProperties>
</file>