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CONSTITUIÇÃO, JUSTIÇA E REDAÇÃO FINAL </w:t>
      </w:r>
      <w:proofErr w:type="gramStart"/>
      <w:r>
        <w:rPr>
          <w:b/>
          <w:sz w:val="28"/>
          <w:szCs w:val="28"/>
        </w:rPr>
        <w:t>–</w:t>
      </w:r>
      <w:proofErr w:type="gramEnd"/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25 DE MARÇO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2506, de 01 de março de 2019</w:t>
      </w:r>
      <w:r>
        <w:rPr>
          <w:bCs/>
          <w:sz w:val="28"/>
          <w:szCs w:val="28"/>
        </w:rPr>
        <w:t xml:space="preserve"> - AUTORIZA O PODER EXECUTIVO MUNICIPAL A CONTRATAR POR TEMPO DETERMINADO, POR EXCEPCIONAL INTERESSE 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67A9D-0A8A-4D92-9E97-57A5DC72D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2</cp:revision>
  <cp:lastPrinted>2017-08-18T14:47:00Z</cp:lastPrinted>
  <dcterms:created xsi:type="dcterms:W3CDTF">2019-03-26T00:41:00Z</dcterms:created>
  <dcterms:modified xsi:type="dcterms:W3CDTF">2019-03-26T00:41:00Z</dcterms:modified>
</cp:coreProperties>
</file>