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15 DE AGOSTO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2553, de 01 de agosto de 2019 – </w:t>
      </w:r>
      <w:r>
        <w:rPr>
          <w:sz w:val="27"/>
          <w:szCs w:val="27"/>
        </w:rPr>
        <w:t>ALTERA OS INCISOS I, II, III E § 7º DO ART. 13 DA LEI MUNICIPAL Nº 1388/2005,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7, de 08 de agosto de 2019 – </w:t>
      </w:r>
      <w:r>
        <w:rPr>
          <w:bCs/>
          <w:sz w:val="28"/>
          <w:szCs w:val="28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39DE-97A7-4FCF-BBC7-5EAE0025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2019-08-17T12:40:00Z</dcterms:created>
  <dcterms:modified xsi:type="dcterms:W3CDTF">2019-08-17T12:40:00Z</dcterms:modified>
</cp:coreProperties>
</file>