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 DE MAIO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2509, de 07 de março de 2019</w:t>
      </w:r>
      <w:r>
        <w:rPr>
          <w:bCs/>
          <w:sz w:val="28"/>
          <w:szCs w:val="28"/>
        </w:rPr>
        <w:t xml:space="preserve"> - INSTITUI O TRANSPORTE ESCOLAR PARA OS ALUNOS DA REDE MUNICIPAL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2517, de 11 de abril de 2019</w:t>
      </w:r>
      <w:r>
        <w:rPr>
          <w:bCs/>
          <w:sz w:val="28"/>
          <w:szCs w:val="28"/>
        </w:rPr>
        <w:t xml:space="preserve"> - EXTINGUE CARGOS EM COMISSÃO E GRATIFICAÇÃO DE FUNÇÃO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2517/2019.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2522, de 22 de abril de 2019 -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2522/2019.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2523, de 29 de abril de 2019 –</w:t>
      </w:r>
      <w:r>
        <w:t xml:space="preserve"> </w:t>
      </w:r>
      <w:r>
        <w:rPr>
          <w:bCs/>
          <w:sz w:val="28"/>
          <w:szCs w:val="28"/>
        </w:rPr>
        <w:t>ALTERA O ARTIGO 3º DA LEI MUNICIPAL 2400/2018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8021-C5E9-41D9-B92F-29C9CBCF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2019-05-13T11:05:00Z</dcterms:created>
  <dcterms:modified xsi:type="dcterms:W3CDTF">2019-05-13T11:05:00Z</dcterms:modified>
</cp:coreProperties>
</file>