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PROVISÓRIA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21 DE JANEIRO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2490, de 11 de janeiro de 2019 – </w:t>
      </w:r>
      <w:r>
        <w:rPr>
          <w:bCs/>
          <w:sz w:val="28"/>
          <w:szCs w:val="28"/>
        </w:rPr>
        <w:t>AUTORIZA O PODER EXECUTIVO MUNICIPAL A REALIZAR A ABERTURA DE CRÉDITO ESPECIAL NO VALOR DE R$ 381.000,00(TREZENTOS E OITENTA E UM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2491, de 14 de janeiro de 2019 -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2492, de 16 de janeiro de 2019 - </w:t>
      </w:r>
      <w:r>
        <w:rPr>
          <w:bCs/>
          <w:sz w:val="28"/>
          <w:szCs w:val="28"/>
        </w:rPr>
        <w:t>DISPÕE SOBRE O ÍNDICE GERAL PARA REVISÃO ANUAL DA REMUNERAÇÃO DOS SERVIDORES DO MUNICÍPIO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after="160"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nº 2493, de 16 de janeiro de 2019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A CONTRATAR OPERAÇÃO DE CRÉDITO COM O BADESUL DESENVOLVIMENTO S.A – AGÊNCIA DE FOMENTO/RS PARA AQUISIÇÃO DE ÔNIBUS ESCOLAR URBANO ACESSÍVEL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E9D5-98CD-43D8-8789-9D2EDB35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2019-01-22T14:12:00Z</dcterms:created>
  <dcterms:modified xsi:type="dcterms:W3CDTF">2019-01-22T14:14:00Z</dcterms:modified>
</cp:coreProperties>
</file>