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203C7B">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203C7B">
      <w:pPr>
        <w:tabs>
          <w:tab w:val="left" w:pos="1418"/>
          <w:tab w:val="left" w:pos="5059"/>
        </w:tabs>
        <w:spacing w:after="0" w:line="240" w:lineRule="auto"/>
        <w:jc w:val="both"/>
        <w:rPr>
          <w:rFonts w:eastAsia="Calibri" w:cs="Arial"/>
        </w:rPr>
      </w:pPr>
      <w:r>
        <w:rPr>
          <w:rFonts w:eastAsia="Calibri" w:cs="Arial"/>
          <w:b/>
        </w:rPr>
        <w:t>Parecer:</w:t>
      </w:r>
      <w:r w:rsidR="00225B31">
        <w:rPr>
          <w:rFonts w:eastAsia="Calibri" w:cs="Arial"/>
        </w:rPr>
        <w:t xml:space="preserve"> 6</w:t>
      </w:r>
      <w:r>
        <w:rPr>
          <w:rFonts w:eastAsia="Calibri" w:cs="Arial"/>
        </w:rPr>
        <w:t>/2019</w:t>
      </w:r>
    </w:p>
    <w:p w:rsidR="00444B6D" w:rsidRDefault="00203C7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6656/2019</w:t>
      </w:r>
      <w:r>
        <w:rPr>
          <w:rFonts w:eastAsia="Calibri" w:cs="Arial"/>
        </w:rPr>
        <w:tab/>
      </w:r>
      <w:r>
        <w:rPr>
          <w:rFonts w:eastAsia="Calibri" w:cs="Arial"/>
          <w:b/>
        </w:rPr>
        <w:t>Data:</w:t>
      </w:r>
      <w:r>
        <w:rPr>
          <w:rFonts w:eastAsia="Calibri" w:cs="Arial"/>
        </w:rPr>
        <w:t xml:space="preserve"> 30 de janeiro de 2019</w:t>
      </w:r>
    </w:p>
    <w:p w:rsidR="00444B6D" w:rsidRDefault="00203C7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2496/2019</w:t>
      </w:r>
      <w:r>
        <w:rPr>
          <w:rFonts w:eastAsia="Calibri" w:cs="Arial"/>
        </w:rPr>
        <w:tab/>
      </w:r>
      <w:r>
        <w:rPr>
          <w:rFonts w:eastAsia="Calibri" w:cs="Arial"/>
          <w:b/>
        </w:rPr>
        <w:t>Autor:</w:t>
      </w:r>
      <w:r>
        <w:rPr>
          <w:rFonts w:eastAsia="Calibri" w:cs="Arial"/>
        </w:rPr>
        <w:t xml:space="preserve"> Poder Executivo</w:t>
      </w:r>
    </w:p>
    <w:p w:rsidR="00444B6D" w:rsidRDefault="00203C7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444B6D" w:rsidRDefault="00203C7B">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w:t>
      </w:r>
      <w:r>
        <w:rPr>
          <w:rFonts w:eastAsia="Calibri" w:cs="Arial"/>
        </w:rPr>
        <w:t xml:space="preserve"> dá outras providências.</w:t>
      </w: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418"/>
          <w:tab w:val="left" w:pos="5059"/>
        </w:tabs>
        <w:spacing w:after="0" w:line="240" w:lineRule="auto"/>
        <w:jc w:val="center"/>
        <w:rPr>
          <w:rFonts w:eastAsia="Calibri" w:cs="Arial"/>
          <w:b/>
        </w:rPr>
      </w:pPr>
      <w:r>
        <w:rPr>
          <w:rFonts w:eastAsia="Calibri" w:cs="Arial"/>
          <w:b/>
        </w:rPr>
        <w:t>Relatório:</w:t>
      </w:r>
    </w:p>
    <w:p w:rsidR="00444B6D" w:rsidRDefault="00444B6D">
      <w:pPr>
        <w:tabs>
          <w:tab w:val="left" w:pos="1418"/>
          <w:tab w:val="left" w:pos="5059"/>
        </w:tabs>
        <w:spacing w:after="0" w:line="240" w:lineRule="auto"/>
        <w:jc w:val="center"/>
        <w:rPr>
          <w:rFonts w:eastAsia="Calibri" w:cs="Arial"/>
          <w:b/>
        </w:rPr>
      </w:pPr>
    </w:p>
    <w:p w:rsidR="00444B6D" w:rsidRDefault="00203C7B">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30 de janeiro de 2019 e tem como objetivo pedido de autorização para realização de processo seletivo para contratação emergencial de monitor </w:t>
      </w:r>
      <w:r>
        <w:rPr>
          <w:rFonts w:eastAsia="Calibri" w:cs="Arial"/>
        </w:rPr>
        <w:t>diurno e monitor noturno.</w:t>
      </w:r>
    </w:p>
    <w:p w:rsidR="00444B6D" w:rsidRDefault="00444B6D">
      <w:pPr>
        <w:tabs>
          <w:tab w:val="left" w:pos="1701"/>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418"/>
          <w:tab w:val="left" w:pos="5059"/>
        </w:tabs>
        <w:spacing w:after="0" w:line="240" w:lineRule="auto"/>
        <w:jc w:val="center"/>
        <w:rPr>
          <w:rFonts w:eastAsia="Calibri" w:cs="Arial"/>
          <w:b/>
        </w:rPr>
      </w:pPr>
      <w:r>
        <w:rPr>
          <w:rFonts w:eastAsia="Calibri" w:cs="Arial"/>
          <w:b/>
        </w:rPr>
        <w:t>Análise:</w:t>
      </w:r>
    </w:p>
    <w:p w:rsidR="00444B6D" w:rsidRDefault="00444B6D">
      <w:pPr>
        <w:tabs>
          <w:tab w:val="left" w:pos="1418"/>
          <w:tab w:val="left" w:pos="5059"/>
        </w:tabs>
        <w:spacing w:after="0" w:line="240" w:lineRule="auto"/>
        <w:jc w:val="center"/>
        <w:rPr>
          <w:rFonts w:eastAsia="Calibri" w:cs="Arial"/>
          <w:b/>
        </w:rPr>
      </w:pPr>
    </w:p>
    <w:p w:rsidR="00444B6D" w:rsidRDefault="00203C7B">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rsidR="00444B6D" w:rsidRDefault="00444B6D">
      <w:pPr>
        <w:tabs>
          <w:tab w:val="left" w:pos="1701"/>
          <w:tab w:val="left" w:pos="5059"/>
        </w:tabs>
        <w:spacing w:after="0" w:line="240" w:lineRule="auto"/>
        <w:jc w:val="both"/>
        <w:rPr>
          <w:rFonts w:eastAsia="Calibri" w:cs="Arial"/>
        </w:rPr>
      </w:pPr>
    </w:p>
    <w:p w:rsidR="00444B6D" w:rsidRDefault="00203C7B">
      <w:pPr>
        <w:tabs>
          <w:tab w:val="left" w:pos="1701"/>
          <w:tab w:val="left" w:pos="5059"/>
        </w:tabs>
        <w:spacing w:after="0" w:line="240" w:lineRule="auto"/>
        <w:ind w:firstLine="1701"/>
        <w:jc w:val="both"/>
        <w:rPr>
          <w:rFonts w:eastAsia="Calibri" w:cs="Arial"/>
        </w:rPr>
      </w:pPr>
      <w:r>
        <w:rPr>
          <w:rFonts w:eastAsia="Calibri" w:cs="Arial"/>
        </w:rPr>
        <w:t>No que tange o conteúdo do Projeto de Lei, quanto a</w:t>
      </w:r>
      <w:r>
        <w:rPr>
          <w:rFonts w:eastAsia="Calibri" w:cs="Arial"/>
        </w:rPr>
        <w:t xml:space="preserve"> pretensão do Executivo de contratar as funções de monitor noturno e monitor diurno, </w:t>
      </w:r>
      <w:r w:rsidR="00225B31">
        <w:rPr>
          <w:rFonts w:eastAsia="Calibri" w:cs="Arial"/>
        </w:rPr>
        <w:t>em regra,</w:t>
      </w:r>
      <w:r>
        <w:rPr>
          <w:rFonts w:eastAsia="Calibri" w:cs="Arial"/>
        </w:rPr>
        <w:t xml:space="preserve"> as contratações devem ser pela via do concurso público de provas ou de provas e títulos (art. 3</w:t>
      </w:r>
      <w:r>
        <w:rPr>
          <w:rFonts w:eastAsia="Calibri" w:cs="Arial"/>
        </w:rPr>
        <w:t>7, II, da Constituição Federal).</w:t>
      </w:r>
    </w:p>
    <w:p w:rsidR="00444B6D" w:rsidRDefault="00444B6D">
      <w:pPr>
        <w:tabs>
          <w:tab w:val="left" w:pos="1701"/>
          <w:tab w:val="left" w:pos="5059"/>
        </w:tabs>
        <w:spacing w:after="0" w:line="240" w:lineRule="auto"/>
        <w:ind w:firstLine="1701"/>
        <w:jc w:val="both"/>
        <w:rPr>
          <w:rFonts w:eastAsia="Calibri" w:cs="Arial"/>
        </w:rPr>
      </w:pPr>
    </w:p>
    <w:p w:rsidR="00444B6D" w:rsidRDefault="00203C7B">
      <w:pPr>
        <w:autoSpaceDE w:val="0"/>
        <w:autoSpaceDN w:val="0"/>
        <w:adjustRightInd w:val="0"/>
        <w:spacing w:after="0" w:line="240" w:lineRule="auto"/>
        <w:ind w:firstLine="1701"/>
        <w:jc w:val="both"/>
        <w:rPr>
          <w:rFonts w:ascii="Calibri" w:hAnsi="Calibri" w:cs="Calibri"/>
        </w:rPr>
      </w:pPr>
      <w:r>
        <w:rPr>
          <w:rFonts w:ascii="Calibri" w:hAnsi="Calibri" w:cs="Calibri"/>
        </w:rPr>
        <w:t>Tendo em vista, que a contratação temporária deve ser um fato atípico, importa atentar-se aos requisitos que declaram constitucional as contratações temporárias fixadas pela Tese de Repercussão Geral nº 612, do STF:</w:t>
      </w:r>
    </w:p>
    <w:p w:rsidR="00444B6D" w:rsidRDefault="00203C7B">
      <w:pPr>
        <w:autoSpaceDE w:val="0"/>
        <w:autoSpaceDN w:val="0"/>
        <w:adjustRightInd w:val="0"/>
        <w:spacing w:after="0" w:line="240" w:lineRule="auto"/>
        <w:rPr>
          <w:rFonts w:ascii="Calibri" w:hAnsi="Calibri" w:cs="Calibri"/>
          <w:sz w:val="19"/>
          <w:szCs w:val="19"/>
        </w:rPr>
      </w:pPr>
      <w:r>
        <w:rPr>
          <w:rFonts w:ascii="Calibri" w:hAnsi="Calibri" w:cs="Calibri"/>
          <w:sz w:val="19"/>
          <w:szCs w:val="19"/>
        </w:rPr>
        <w:t xml:space="preserve">a) os </w:t>
      </w:r>
      <w:r>
        <w:rPr>
          <w:rFonts w:ascii="Calibri" w:hAnsi="Calibri" w:cs="Calibri"/>
          <w:sz w:val="19"/>
          <w:szCs w:val="19"/>
        </w:rPr>
        <w:t>casos excepcionais estejam previstos em lei;</w:t>
      </w:r>
    </w:p>
    <w:p w:rsidR="00444B6D" w:rsidRDefault="00203C7B">
      <w:pPr>
        <w:pStyle w:val="NormalWeb"/>
        <w:tabs>
          <w:tab w:val="left" w:pos="1418"/>
        </w:tabs>
        <w:spacing w:before="0" w:beforeAutospacing="0" w:after="0" w:afterAutospacing="0"/>
        <w:jc w:val="both"/>
        <w:rPr>
          <w:rFonts w:eastAsia="Calibri" w:cs="Arial"/>
        </w:rPr>
      </w:pPr>
      <w:r>
        <w:rPr>
          <w:rFonts w:ascii="Calibri" w:hAnsi="Calibri" w:cs="Calibri"/>
          <w:sz w:val="19"/>
          <w:szCs w:val="19"/>
        </w:rPr>
        <w:t>b) o prazo de contratação seja predeterminado;</w:t>
      </w:r>
    </w:p>
    <w:p w:rsidR="00444B6D" w:rsidRDefault="00203C7B">
      <w:pPr>
        <w:autoSpaceDE w:val="0"/>
        <w:autoSpaceDN w:val="0"/>
        <w:adjustRightInd w:val="0"/>
        <w:spacing w:after="0" w:line="240" w:lineRule="auto"/>
        <w:rPr>
          <w:rFonts w:ascii="Calibri,Bold" w:hAnsi="Calibri,Bold" w:cs="Calibri,Bold"/>
          <w:bCs/>
          <w:sz w:val="19"/>
          <w:szCs w:val="19"/>
        </w:rPr>
      </w:pPr>
      <w:r>
        <w:rPr>
          <w:rFonts w:ascii="Calibri,Bold" w:hAnsi="Calibri,Bold" w:cs="Calibri,Bold"/>
          <w:bCs/>
          <w:sz w:val="19"/>
          <w:szCs w:val="19"/>
        </w:rPr>
        <w:t>c) a necessidade seja temporária;</w:t>
      </w:r>
    </w:p>
    <w:p w:rsidR="00444B6D" w:rsidRDefault="00203C7B">
      <w:pPr>
        <w:autoSpaceDE w:val="0"/>
        <w:autoSpaceDN w:val="0"/>
        <w:adjustRightInd w:val="0"/>
        <w:spacing w:after="0" w:line="240" w:lineRule="auto"/>
        <w:rPr>
          <w:rFonts w:ascii="Calibri" w:hAnsi="Calibri" w:cs="Calibri"/>
          <w:sz w:val="19"/>
          <w:szCs w:val="19"/>
        </w:rPr>
      </w:pPr>
      <w:r>
        <w:rPr>
          <w:rFonts w:ascii="Calibri" w:hAnsi="Calibri" w:cs="Calibri"/>
          <w:sz w:val="19"/>
          <w:szCs w:val="19"/>
        </w:rPr>
        <w:t>d) o interesse público seja excepcional;</w:t>
      </w:r>
    </w:p>
    <w:p w:rsidR="00444B6D" w:rsidRDefault="00203C7B">
      <w:pPr>
        <w:autoSpaceDE w:val="0"/>
        <w:autoSpaceDN w:val="0"/>
        <w:adjustRightInd w:val="0"/>
        <w:spacing w:after="0" w:line="240" w:lineRule="auto"/>
        <w:rPr>
          <w:rFonts w:ascii="Calibri" w:hAnsi="Calibri" w:cs="Calibri"/>
          <w:sz w:val="19"/>
          <w:szCs w:val="19"/>
        </w:rPr>
      </w:pPr>
      <w:r>
        <w:rPr>
          <w:rFonts w:ascii="Calibri" w:hAnsi="Calibri" w:cs="Calibri"/>
          <w:sz w:val="19"/>
          <w:szCs w:val="19"/>
        </w:rPr>
        <w:t>e) a contratação seja indispensável, sendo vedada para os serviços ordinários permanentes</w:t>
      </w:r>
      <w:r>
        <w:rPr>
          <w:rFonts w:ascii="Calibri" w:hAnsi="Calibri" w:cs="Calibri"/>
          <w:sz w:val="19"/>
          <w:szCs w:val="19"/>
        </w:rPr>
        <w:t xml:space="preserve"> do Estado que estejam sob o espectro das contingências normais da Administração.</w:t>
      </w:r>
    </w:p>
    <w:p w:rsidR="00444B6D" w:rsidRDefault="00444B6D">
      <w:pPr>
        <w:autoSpaceDE w:val="0"/>
        <w:autoSpaceDN w:val="0"/>
        <w:adjustRightInd w:val="0"/>
        <w:spacing w:after="0" w:line="240" w:lineRule="auto"/>
        <w:rPr>
          <w:rFonts w:ascii="Calibri" w:hAnsi="Calibri" w:cs="Calibri"/>
          <w:sz w:val="19"/>
          <w:szCs w:val="19"/>
        </w:rPr>
      </w:pPr>
    </w:p>
    <w:p w:rsidR="00444B6D" w:rsidRDefault="00203C7B">
      <w:pPr>
        <w:tabs>
          <w:tab w:val="left" w:pos="1701"/>
          <w:tab w:val="left" w:pos="5059"/>
        </w:tabs>
        <w:spacing w:after="0" w:line="240" w:lineRule="auto"/>
        <w:jc w:val="both"/>
        <w:rPr>
          <w:rFonts w:eastAsia="Calibri" w:cs="Arial"/>
        </w:rPr>
      </w:pPr>
      <w:r>
        <w:rPr>
          <w:rFonts w:eastAsia="Calibri" w:cs="Arial"/>
        </w:rPr>
        <w:tab/>
        <w:t>O prazo da contratação (art. 1º) está de acordo com o disposto no art.197 da Lei nº 270, de 1994 (Regime Jurídico dos Servidores).</w:t>
      </w:r>
    </w:p>
    <w:p w:rsidR="00444B6D" w:rsidRDefault="00444B6D">
      <w:pPr>
        <w:tabs>
          <w:tab w:val="left" w:pos="1701"/>
          <w:tab w:val="left" w:pos="5059"/>
        </w:tabs>
        <w:spacing w:after="0" w:line="240" w:lineRule="auto"/>
        <w:jc w:val="both"/>
        <w:rPr>
          <w:rFonts w:eastAsia="Calibri" w:cs="Arial"/>
        </w:rPr>
      </w:pPr>
    </w:p>
    <w:p w:rsidR="00444B6D" w:rsidRDefault="00203C7B">
      <w:pPr>
        <w:tabs>
          <w:tab w:val="left" w:pos="1418"/>
          <w:tab w:val="left" w:pos="5059"/>
        </w:tabs>
        <w:spacing w:after="0" w:line="240" w:lineRule="auto"/>
        <w:ind w:firstLine="1701"/>
        <w:jc w:val="both"/>
        <w:rPr>
          <w:rFonts w:eastAsia="Calibri" w:cs="Arial"/>
        </w:rPr>
      </w:pPr>
      <w:r>
        <w:rPr>
          <w:rFonts w:eastAsia="Calibri" w:cs="Arial"/>
        </w:rPr>
        <w:t>Contudo, é importante ressaltar que a co</w:t>
      </w:r>
      <w:r>
        <w:rPr>
          <w:rFonts w:eastAsia="Calibri" w:cs="Arial"/>
        </w:rPr>
        <w:t>ntratação só deve perdurar, tão somente enquanto houver a necessidade de cunho temporário e a realização do concurso público, a fim de cumprir a regra de admissão de pessoal na Administração Pública, de acordo com o inciso II do art. 37 da CF e prover as v</w:t>
      </w:r>
      <w:r>
        <w:rPr>
          <w:rFonts w:eastAsia="Calibri" w:cs="Arial"/>
        </w:rPr>
        <w:t>agas de forma efetiva.</w:t>
      </w:r>
    </w:p>
    <w:p w:rsidR="00444B6D" w:rsidRDefault="00444B6D">
      <w:pPr>
        <w:tabs>
          <w:tab w:val="left" w:pos="1701"/>
          <w:tab w:val="left" w:pos="5059"/>
        </w:tabs>
        <w:spacing w:after="0" w:line="240" w:lineRule="auto"/>
        <w:ind w:firstLine="1701"/>
        <w:jc w:val="both"/>
        <w:rPr>
          <w:rFonts w:eastAsia="Calibri" w:cs="Arial"/>
          <w:i/>
        </w:rPr>
      </w:pPr>
    </w:p>
    <w:p w:rsidR="00444B6D" w:rsidRDefault="00203C7B">
      <w:pPr>
        <w:tabs>
          <w:tab w:val="left" w:pos="1701"/>
          <w:tab w:val="left" w:pos="5059"/>
        </w:tabs>
        <w:spacing w:after="0" w:line="240" w:lineRule="auto"/>
        <w:jc w:val="both"/>
        <w:rPr>
          <w:rFonts w:eastAsia="Calibri" w:cs="Arial"/>
        </w:rPr>
      </w:pPr>
      <w:r>
        <w:rPr>
          <w:rFonts w:eastAsia="Calibri" w:cs="Arial"/>
        </w:rPr>
        <w:tab/>
      </w:r>
    </w:p>
    <w:p w:rsidR="00444B6D" w:rsidRDefault="00444B6D">
      <w:pPr>
        <w:tabs>
          <w:tab w:val="left" w:pos="1701"/>
          <w:tab w:val="left" w:pos="5059"/>
        </w:tabs>
        <w:spacing w:after="0" w:line="240" w:lineRule="auto"/>
        <w:jc w:val="both"/>
        <w:rPr>
          <w:rFonts w:eastAsia="Calibri" w:cs="Arial"/>
        </w:rPr>
      </w:pPr>
    </w:p>
    <w:p w:rsidR="00444B6D" w:rsidRDefault="00444B6D">
      <w:pPr>
        <w:tabs>
          <w:tab w:val="left" w:pos="1701"/>
          <w:tab w:val="left" w:pos="5059"/>
        </w:tabs>
        <w:spacing w:after="0" w:line="240" w:lineRule="auto"/>
        <w:jc w:val="both"/>
        <w:rPr>
          <w:rFonts w:eastAsia="Calibri" w:cs="Arial"/>
        </w:rPr>
      </w:pPr>
    </w:p>
    <w:p w:rsidR="00444B6D" w:rsidRDefault="00444B6D">
      <w:pPr>
        <w:spacing w:after="0"/>
        <w:jc w:val="both"/>
        <w:rPr>
          <w:rFonts w:cs="Arial"/>
        </w:rPr>
      </w:pPr>
      <w:bookmarkStart w:id="0" w:name="_GoBack"/>
      <w:bookmarkEnd w:id="0"/>
    </w:p>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444B6D">
      <w:pPr>
        <w:tabs>
          <w:tab w:val="left" w:pos="1418"/>
          <w:tab w:val="left" w:pos="5059"/>
        </w:tabs>
        <w:spacing w:after="0" w:line="240" w:lineRule="auto"/>
        <w:jc w:val="center"/>
        <w:rPr>
          <w:rFonts w:eastAsia="Calibri" w:cs="Arial"/>
          <w:b/>
        </w:rPr>
      </w:pPr>
    </w:p>
    <w:p w:rsidR="00444B6D" w:rsidRDefault="00203C7B">
      <w:pPr>
        <w:tabs>
          <w:tab w:val="left" w:pos="1418"/>
          <w:tab w:val="left" w:pos="5059"/>
        </w:tabs>
        <w:spacing w:after="0" w:line="240" w:lineRule="auto"/>
        <w:jc w:val="center"/>
        <w:rPr>
          <w:rFonts w:eastAsia="Calibri" w:cs="Arial"/>
          <w:b/>
        </w:rPr>
      </w:pPr>
      <w:r>
        <w:rPr>
          <w:rFonts w:eastAsia="Calibri" w:cs="Arial"/>
          <w:b/>
        </w:rPr>
        <w:t>Conclusão do Voto:</w:t>
      </w: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 constitucionais expostos, esta Relatoria, depois de debate realizado na Comissão, disponibiliza o presente Voto favorável à tramitação da matéria.</w:t>
      </w:r>
    </w:p>
    <w:p w:rsidR="00444B6D" w:rsidRDefault="00444B6D">
      <w:pPr>
        <w:tabs>
          <w:tab w:val="left" w:pos="1418"/>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701"/>
          <w:tab w:val="left" w:pos="5059"/>
        </w:tabs>
        <w:spacing w:after="0" w:line="240" w:lineRule="auto"/>
        <w:jc w:val="both"/>
        <w:rPr>
          <w:rFonts w:eastAsia="Calibri" w:cs="Arial"/>
        </w:rPr>
      </w:pPr>
      <w:r>
        <w:rPr>
          <w:rFonts w:eastAsia="Calibri" w:cs="Arial"/>
        </w:rPr>
        <w:tab/>
      </w:r>
      <w:r>
        <w:rPr>
          <w:rFonts w:eastAsia="Calibri" w:cs="Arial"/>
        </w:rPr>
        <w:t>Sala das Comissões, em 4 de fevereiro de 2019.</w:t>
      </w: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418"/>
          <w:tab w:val="left" w:pos="5059"/>
        </w:tabs>
        <w:spacing w:after="0" w:line="240" w:lineRule="auto"/>
        <w:jc w:val="both"/>
        <w:rPr>
          <w:rFonts w:eastAsia="Calibri" w:cs="Arial"/>
        </w:rPr>
      </w:pPr>
      <w:r>
        <w:rPr>
          <w:rFonts w:eastAsia="Calibri" w:cs="Arial"/>
        </w:rPr>
        <w:tab/>
      </w:r>
    </w:p>
    <w:p w:rsidR="00444B6D" w:rsidRDefault="00203C7B">
      <w:pPr>
        <w:tabs>
          <w:tab w:val="left" w:pos="1701"/>
          <w:tab w:val="left" w:pos="5059"/>
        </w:tabs>
        <w:spacing w:after="0" w:line="240" w:lineRule="auto"/>
        <w:jc w:val="both"/>
        <w:rPr>
          <w:rFonts w:eastAsia="Calibri" w:cs="Arial"/>
        </w:rPr>
      </w:pPr>
      <w:r>
        <w:rPr>
          <w:rFonts w:eastAsia="Calibri" w:cs="Arial"/>
        </w:rPr>
        <w:tab/>
      </w: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444B6D" w:rsidRDefault="00444B6D">
      <w:pPr>
        <w:tabs>
          <w:tab w:val="left" w:pos="1418"/>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b/>
        </w:rPr>
      </w:pPr>
    </w:p>
    <w:p w:rsidR="00444B6D" w:rsidRDefault="00203C7B">
      <w:pPr>
        <w:tabs>
          <w:tab w:val="left" w:pos="1418"/>
          <w:tab w:val="left" w:pos="5059"/>
        </w:tabs>
        <w:spacing w:after="0" w:line="240" w:lineRule="auto"/>
        <w:jc w:val="both"/>
        <w:rPr>
          <w:rFonts w:eastAsia="Calibri" w:cs="Arial"/>
          <w:b/>
        </w:rPr>
      </w:pPr>
      <w:r>
        <w:rPr>
          <w:rFonts w:eastAsia="Calibri" w:cs="Arial"/>
          <w:b/>
        </w:rPr>
        <w:t>Pelas conclusões:</w:t>
      </w:r>
    </w:p>
    <w:p w:rsidR="00444B6D" w:rsidRDefault="00444B6D">
      <w:pPr>
        <w:tabs>
          <w:tab w:val="left" w:pos="1418"/>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rPr>
      </w:pPr>
    </w:p>
    <w:p w:rsidR="00444B6D" w:rsidRDefault="00444B6D">
      <w:pPr>
        <w:tabs>
          <w:tab w:val="left" w:pos="1418"/>
          <w:tab w:val="left" w:pos="5059"/>
        </w:tabs>
        <w:spacing w:after="0" w:line="240" w:lineRule="auto"/>
        <w:jc w:val="both"/>
        <w:rPr>
          <w:rFonts w:eastAsia="Calibri" w:cs="Arial"/>
        </w:rPr>
      </w:pPr>
    </w:p>
    <w:p w:rsidR="00444B6D" w:rsidRDefault="00203C7B">
      <w:pPr>
        <w:tabs>
          <w:tab w:val="left" w:pos="1418"/>
          <w:tab w:val="left" w:pos="5059"/>
        </w:tabs>
        <w:spacing w:after="0" w:line="240" w:lineRule="auto"/>
        <w:jc w:val="both"/>
        <w:rPr>
          <w:rFonts w:eastAsia="Calibri" w:cs="Arial"/>
        </w:rPr>
      </w:pPr>
      <w:r>
        <w:rPr>
          <w:rFonts w:eastAsia="Calibri" w:cs="Arial"/>
        </w:rPr>
        <w:t>Vereadora Isabel de Oliveira Elias</w:t>
      </w:r>
      <w:r>
        <w:rPr>
          <w:rFonts w:eastAsia="Calibri" w:cs="Arial"/>
        </w:rPr>
        <w:tab/>
        <w:t xml:space="preserve">        Vereador Teodoro Jair Dessbessel</w:t>
      </w:r>
    </w:p>
    <w:p w:rsidR="00444B6D" w:rsidRDefault="00444B6D">
      <w:pPr>
        <w:spacing w:after="0" w:line="240" w:lineRule="auto"/>
        <w:rPr>
          <w:rFonts w:eastAsia="Calibri" w:cs="Calibri"/>
        </w:rPr>
      </w:pPr>
    </w:p>
    <w:sectPr w:rsidR="00444B6D" w:rsidSect="00444B6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C7B" w:rsidRDefault="00203C7B">
      <w:pPr>
        <w:spacing w:after="0" w:line="240" w:lineRule="auto"/>
      </w:pPr>
      <w:r>
        <w:separator/>
      </w:r>
    </w:p>
  </w:endnote>
  <w:endnote w:type="continuationSeparator" w:id="1">
    <w:p w:rsidR="00203C7B" w:rsidRDefault="00203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C7B" w:rsidRDefault="00203C7B">
      <w:pPr>
        <w:spacing w:after="0" w:line="240" w:lineRule="auto"/>
      </w:pPr>
      <w:r>
        <w:separator/>
      </w:r>
    </w:p>
  </w:footnote>
  <w:footnote w:type="continuationSeparator" w:id="1">
    <w:p w:rsidR="00203C7B" w:rsidRDefault="00203C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444B6D"/>
    <w:rsid w:val="00203C7B"/>
    <w:rsid w:val="00225B31"/>
    <w:rsid w:val="00444B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444B6D"/>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444B6D"/>
    <w:rPr>
      <w:rFonts w:ascii="Arial" w:eastAsia="Times New Roman" w:hAnsi="Arial" w:cs="Times New Roman"/>
      <w:sz w:val="18"/>
      <w:szCs w:val="20"/>
    </w:rPr>
  </w:style>
  <w:style w:type="character" w:styleId="Refdenotaderodap">
    <w:name w:val="footnote reference"/>
    <w:rsid w:val="00444B6D"/>
    <w:rPr>
      <w:vertAlign w:val="superscript"/>
    </w:rPr>
  </w:style>
  <w:style w:type="paragraph" w:styleId="NormalWeb">
    <w:name w:val="Normal (Web)"/>
    <w:basedOn w:val="Normal"/>
    <w:rsid w:val="00444B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444B6D"/>
    <w:rPr>
      <w:color w:val="0000FF"/>
      <w:u w:val="single"/>
    </w:rPr>
  </w:style>
  <w:style w:type="character" w:customStyle="1" w:styleId="firstementa">
    <w:name w:val="firstementa"/>
    <w:rsid w:val="00444B6D"/>
  </w:style>
  <w:style w:type="character" w:customStyle="1" w:styleId="marcapalavra">
    <w:name w:val="marca_palavra"/>
    <w:rsid w:val="00444B6D"/>
  </w:style>
  <w:style w:type="character" w:customStyle="1" w:styleId="hidden">
    <w:name w:val="hidden"/>
    <w:rsid w:val="00444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2019-02-04T21:47:00Z</cp:lastPrinted>
  <dcterms:created xsi:type="dcterms:W3CDTF">2019-02-05T11:40:00Z</dcterms:created>
  <dcterms:modified xsi:type="dcterms:W3CDTF">2019-02-05T11:40:00Z</dcterms:modified>
</cp:coreProperties>
</file>