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29/2019 – Comissão de Constituição, Justiça e Redação Final.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doze dias do mês de setembro de dois mil e dezenove, às nove horas, reuniram-se na Câmara Municipal as vereadores Jane Elizete Ferreira Martins da Silva e Isabel de Oliveira Elias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bookmarkStart w:id="0" w:name="a1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2554, de 01 de agosto de 2019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Autoriza o Poder Executivo municipal a contratar operação de crédito com a Caixa Econômica Federal,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2562, de 16 de agosto de 2019 – </w:t>
      </w:r>
      <w:r>
        <w:rPr>
          <w:rFonts w:ascii="Times New Roman" w:eastAsia="Calibri" w:hAnsi="Times New Roman" w:cs="Times New Roman"/>
          <w:sz w:val="24"/>
          <w:szCs w:val="24"/>
        </w:rPr>
        <w:t>Autoriza a concessão de administração e uso das dependências do hospital municipal Aderbal Schneider e dá outras providências.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Após análise dos referidos projetos a Comissão </w:t>
      </w:r>
      <w:r>
        <w:rPr>
          <w:rFonts w:ascii="Times New Roman" w:eastAsia="Calibri" w:hAnsi="Times New Roman" w:cs="Times New Roman"/>
          <w:sz w:val="24"/>
          <w:szCs w:val="24"/>
        </w:rPr>
        <w:t>emitir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parecer favorável ao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Projeto de Lei do Executivo nº 2562/2019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permanecendo baixado na Comissão 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>o Projeto de Lei do Executivo nº 2554/2019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>
      <w:pPr>
        <w:spacing w:after="0" w:line="360" w:lineRule="auto"/>
        <w:jc w:val="both"/>
        <w:rPr>
          <w:rFonts w:eastAsia="Calibri"/>
          <w:b/>
        </w:rPr>
      </w:pP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9DB2-A182-45EE-B04B-34A54C50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2019-09-16T10:37:00Z</cp:lastPrinted>
  <dcterms:created xsi:type="dcterms:W3CDTF">2019-09-16T10:35:00Z</dcterms:created>
  <dcterms:modified xsi:type="dcterms:W3CDTF">2019-09-16T10:40:00Z</dcterms:modified>
</cp:coreProperties>
</file>