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28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MARÇO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2507, de 01 de março de 2019</w:t>
      </w:r>
      <w:r>
        <w:rPr>
          <w:bCs/>
          <w:sz w:val="28"/>
          <w:szCs w:val="28"/>
        </w:rPr>
        <w:t xml:space="preserve"> - 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</w:t>
      </w:r>
      <w:r>
        <w:rPr>
          <w:b/>
          <w:sz w:val="28"/>
          <w:szCs w:val="28"/>
        </w:rPr>
        <w:t xml:space="preserve"> ao </w:t>
      </w:r>
      <w:r>
        <w:rPr>
          <w:b/>
          <w:bCs/>
          <w:sz w:val="28"/>
          <w:szCs w:val="28"/>
        </w:rPr>
        <w:t>Projeto de Lei do Executivo n° 2507/2019.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55B5-7026-4DBB-BCE3-80AE8723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2019-03-29T14:09:00Z</dcterms:created>
  <dcterms:modified xsi:type="dcterms:W3CDTF">2019-03-29T14:09:00Z</dcterms:modified>
</cp:coreProperties>
</file>