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28 DE MARÇO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2507, de 01 de março de 2019</w:t>
      </w:r>
      <w:r>
        <w:rPr>
          <w:bCs/>
          <w:sz w:val="28"/>
          <w:szCs w:val="28"/>
        </w:rPr>
        <w:t xml:space="preserve"> - 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</w:t>
      </w:r>
      <w:r>
        <w:rPr>
          <w:b/>
          <w:sz w:val="28"/>
          <w:szCs w:val="28"/>
        </w:rPr>
        <w:t xml:space="preserve"> ao </w:t>
      </w:r>
      <w:r>
        <w:rPr>
          <w:b/>
          <w:bCs/>
          <w:sz w:val="28"/>
          <w:szCs w:val="28"/>
        </w:rPr>
        <w:t>Projeto de Lei do Executivo n° 2507/2019.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2508, de 01 de março de 2019</w:t>
      </w:r>
      <w:r>
        <w:rPr>
          <w:bCs/>
          <w:sz w:val="28"/>
          <w:szCs w:val="28"/>
        </w:rPr>
        <w:t xml:space="preserve"> - AUTORIZA O PODER EXECUTIVO MUNICIPAL A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E0B2-C6C9-40A7-A433-F7D7778D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2019-03-29T14:07:00Z</dcterms:created>
  <dcterms:modified xsi:type="dcterms:W3CDTF">2019-03-29T14:08:00Z</dcterms:modified>
</cp:coreProperties>
</file>