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CONSTITUIÇÃO, JUSTIÇA E REDAÇÃO FINAL </w:t>
      </w:r>
      <w:proofErr w:type="gramStart"/>
      <w:r>
        <w:rPr>
          <w:b/>
          <w:sz w:val="28"/>
          <w:szCs w:val="28"/>
        </w:rPr>
        <w:t>–</w:t>
      </w:r>
      <w:proofErr w:type="gramEnd"/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11 DE JULHO DE 2019.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2537, de 07 de junho de 2019 –</w:t>
      </w:r>
      <w:r>
        <w:t xml:space="preserve"> </w:t>
      </w:r>
      <w:r>
        <w:rPr>
          <w:sz w:val="28"/>
          <w:szCs w:val="28"/>
        </w:rPr>
        <w:t>AUTORIZA O PODER EXECUTIVO MUNICIPAL CRIAR CARGOS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n° 2537/2019.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2538, de 12 de junho de 2019 –</w:t>
      </w:r>
      <w:r>
        <w:t xml:space="preserve"> </w:t>
      </w:r>
      <w:r>
        <w:rPr>
          <w:sz w:val="28"/>
          <w:szCs w:val="28"/>
        </w:rPr>
        <w:t>AUTORIZA O PODER EXECUTIVO MUNICIPAL A REALIZAR A ABERTURA DE CRÉDITO ADICIONAL ESPECIAL NO VALOR DE R$ 2.070,00 (DOIS MIL E SETENTA REAIS)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n° 2538/2019.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2539, de 13 de junho de 2019 –</w:t>
      </w:r>
      <w:r>
        <w:t xml:space="preserve"> </w:t>
      </w:r>
      <w:r>
        <w:rPr>
          <w:sz w:val="28"/>
          <w:szCs w:val="28"/>
        </w:rPr>
        <w:t>AUTORIZA O PODER EXECUTIVO MUNICIPAL A REALIZAR A ABERTURA DE CRÉDITO ADICIONAL SUPLEMENTAR NO VALOR DE R$ 10.000,00 (DEZ MIL REAIS)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n° 2539/2019.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bookmarkStart w:id="0" w:name="_GoBack"/>
      <w:bookmarkEnd w:id="0"/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2541, de 27 de junho de 2019 –</w:t>
      </w:r>
      <w:r>
        <w:t xml:space="preserve"> </w:t>
      </w:r>
      <w:r>
        <w:rPr>
          <w:sz w:val="28"/>
          <w:szCs w:val="28"/>
        </w:rPr>
        <w:t xml:space="preserve">AUTORIZA O PODER EXECUTIVO MUNICIPAL A REALIZAR A ABERTURA DE CRÉDITO ESPECIAL NO </w:t>
      </w:r>
      <w:r>
        <w:rPr>
          <w:sz w:val="28"/>
          <w:szCs w:val="28"/>
        </w:rPr>
        <w:lastRenderedPageBreak/>
        <w:t>VALOR DE R$ 5.558,40 (CINCO MIL QUINHENTOS E CINQUENTA E OITO REAIS E QUARENTA CENTAVOS) E DÁ OUTRAS PROVIDÊNCIAS.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2544, de 27 de junho de 2019 –</w:t>
      </w:r>
      <w:r>
        <w:t xml:space="preserve"> </w:t>
      </w:r>
      <w:r>
        <w:rPr>
          <w:sz w:val="28"/>
          <w:szCs w:val="28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750E9-1D05-443B-B4C3-C008213C0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4</cp:revision>
  <cp:lastPrinted>2017-08-18T14:47:00Z</cp:lastPrinted>
  <dcterms:created xsi:type="dcterms:W3CDTF">2019-07-12T11:54:00Z</dcterms:created>
  <dcterms:modified xsi:type="dcterms:W3CDTF">2019-07-12T11:54:00Z</dcterms:modified>
</cp:coreProperties>
</file>