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06 DE JUNHO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2531, de 22 de maio de 2019 –</w:t>
      </w:r>
      <w:r>
        <w:t xml:space="preserve">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2532, de 23 de maio de 2019 –</w:t>
      </w:r>
      <w:r>
        <w:t xml:space="preserve"> </w:t>
      </w:r>
      <w:r>
        <w:rPr>
          <w:sz w:val="28"/>
          <w:szCs w:val="28"/>
        </w:rPr>
        <w:t>REESTRUTURA A</w:t>
      </w:r>
      <w:r>
        <w:t xml:space="preserve"> </w:t>
      </w:r>
      <w:r>
        <w:rPr>
          <w:bCs/>
          <w:sz w:val="28"/>
          <w:szCs w:val="28"/>
        </w:rPr>
        <w:t>POLÍTICA MUNICIPAL DE PROTEÇÃO AOS DIREITOS DA CRIANÇA E DO ADOLESCENTE, CONSELHO MUNICIPAL DOS DIREITOS DA CRIANÇA E DO ADOLESCENTE, O FUNDO MUNICIPAL DOS DIREITOS DA CRIANÇA E DO ADOLESCENTE, O SISTEMA MUNICIPAL DE ATENDIMENTO SOCIOEDUCATIVO E O CONSELHO TUTELAR.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2533, de 23 de maio de 2019 –</w:t>
      </w:r>
      <w:r>
        <w:t xml:space="preserve"> </w:t>
      </w:r>
      <w:r>
        <w:rPr>
          <w:sz w:val="28"/>
          <w:szCs w:val="28"/>
        </w:rPr>
        <w:t>AUTORIZA O PODER EXECUTIVO MUNICIPAL A REALIZAR A ABERTURA DE CRÉDITO ADICIONAL ESPECIAL NO VALOR DE R$ 413.223,50 (QUATROCENTOS E TREZE MIL DUZENTOS E VINTE E TRÊS REAIS E CINQUENTA CENTAVOS)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2534, de 28 de maio de 2019 –</w:t>
      </w:r>
      <w:r>
        <w:t xml:space="preserve"> </w:t>
      </w:r>
      <w:r>
        <w:rPr>
          <w:sz w:val="28"/>
          <w:szCs w:val="28"/>
        </w:rPr>
        <w:t>ALTERA O ART 1° DA LEI MUNICIPAL N° 2481 DE 21 DE MAIO DE 2019 E DÁ OUTRAS PROVIDENCIAS.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9E7C3-140A-4720-96C7-77B7A25E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5</cp:revision>
  <cp:lastPrinted>2017-08-18T14:47:00Z</cp:lastPrinted>
  <dcterms:created xsi:type="dcterms:W3CDTF">2019-06-07T12:59:00Z</dcterms:created>
  <dcterms:modified xsi:type="dcterms:W3CDTF">2019-06-07T13:00:00Z</dcterms:modified>
</cp:coreProperties>
</file>