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4 DE OUTUBRO DE 2018.</w:t>
      </w:r>
    </w:p>
    <w:p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2462, de 24 de setembro de 2018 - </w:t>
      </w:r>
      <w:r>
        <w:rPr>
          <w:bCs/>
          <w:sz w:val="28"/>
          <w:szCs w:val="28"/>
        </w:rPr>
        <w:t>ALTERA A LEI MUNICIPAL N. 564/96 E DÁ OUTRAS PROVIDÊNCIAS.</w:t>
      </w:r>
    </w:p>
    <w:p>
      <w:pPr>
        <w:pStyle w:val="SemEspaamento"/>
        <w:spacing w:line="360" w:lineRule="au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2463, de 26 de setembro de 2018 - </w:t>
      </w:r>
      <w:r>
        <w:rPr>
          <w:bCs/>
          <w:sz w:val="28"/>
          <w:szCs w:val="28"/>
        </w:rPr>
        <w:t>EXTINGUE O CARGO PÚBLICO DE COORDENADOR DE FINANÇAS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2466, de 26 de setembro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4751-2630-4CFD-90B7-3292A796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2018-10-08T22:37:00Z</dcterms:created>
  <dcterms:modified xsi:type="dcterms:W3CDTF">2018-10-08T22:37:00Z</dcterms:modified>
</cp:coreProperties>
</file>